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196" w:type="dxa"/>
        <w:tblLayout w:type="fixed"/>
        <w:tblCellMar>
          <w:top w:w="0" w:type="dxa"/>
          <w:left w:w="108" w:type="dxa"/>
          <w:bottom w:w="0" w:type="dxa"/>
          <w:right w:w="108" w:type="dxa"/>
        </w:tblCellMar>
      </w:tblPr>
      <w:tblGrid>
        <w:gridCol w:w="780"/>
        <w:gridCol w:w="1590"/>
        <w:gridCol w:w="2255"/>
        <w:gridCol w:w="5875"/>
        <w:gridCol w:w="1785"/>
        <w:gridCol w:w="1455"/>
        <w:gridCol w:w="705"/>
      </w:tblGrid>
      <w:tr>
        <w:tblPrEx>
          <w:tblCellMar>
            <w:top w:w="0" w:type="dxa"/>
            <w:left w:w="108" w:type="dxa"/>
            <w:bottom w:w="0" w:type="dxa"/>
            <w:right w:w="108" w:type="dxa"/>
          </w:tblCellMar>
        </w:tblPrEx>
        <w:trPr>
          <w:trHeight w:val="480" w:hRule="atLeast"/>
        </w:trPr>
        <w:tc>
          <w:tcPr>
            <w:tcW w:w="14445" w:type="dxa"/>
            <w:gridSpan w:val="7"/>
            <w:tcBorders>
              <w:top w:val="nil"/>
              <w:left w:val="nil"/>
              <w:bottom w:val="nil"/>
              <w:right w:val="nil"/>
            </w:tcBorders>
            <w:noWrap/>
            <w:vAlign w:val="center"/>
          </w:tcPr>
          <w:p>
            <w:pPr>
              <w:widowControl/>
              <w:ind w:right="252" w:rightChars="120"/>
              <w:jc w:val="left"/>
              <w:rPr>
                <w:rFonts w:ascii="仿宋" w:hAnsi="仿宋" w:eastAsia="仿宋" w:cs="宋体"/>
                <w:color w:val="000000"/>
                <w:kern w:val="0"/>
                <w:sz w:val="32"/>
                <w:szCs w:val="32"/>
              </w:rPr>
            </w:pPr>
            <w:r>
              <w:rPr>
                <w:rFonts w:hint="eastAsia" w:ascii="黑体" w:hAnsi="黑体" w:eastAsia="黑体" w:cs="黑体"/>
                <w:color w:val="000000"/>
                <w:kern w:val="0"/>
                <w:sz w:val="32"/>
                <w:szCs w:val="32"/>
              </w:rPr>
              <w:t>附件1:</w:t>
            </w:r>
          </w:p>
        </w:tc>
      </w:tr>
      <w:tr>
        <w:tblPrEx>
          <w:tblCellMar>
            <w:top w:w="0" w:type="dxa"/>
            <w:left w:w="108" w:type="dxa"/>
            <w:bottom w:w="0" w:type="dxa"/>
            <w:right w:w="108" w:type="dxa"/>
          </w:tblCellMar>
        </w:tblPrEx>
        <w:trPr>
          <w:trHeight w:val="623" w:hRule="atLeast"/>
        </w:trPr>
        <w:tc>
          <w:tcPr>
            <w:tcW w:w="14445" w:type="dxa"/>
            <w:gridSpan w:val="7"/>
            <w:tcBorders>
              <w:top w:val="nil"/>
              <w:left w:val="nil"/>
              <w:bottom w:val="nil"/>
              <w:right w:val="nil"/>
            </w:tcBorders>
            <w:noWrap/>
            <w:vAlign w:val="center"/>
          </w:tcPr>
          <w:p>
            <w:pPr>
              <w:widowControl/>
              <w:jc w:val="center"/>
              <w:rPr>
                <w:rFonts w:ascii="宋体" w:hAnsi="宋体" w:cs="宋体"/>
                <w:b/>
                <w:bCs/>
                <w:color w:val="000000"/>
                <w:kern w:val="0"/>
                <w:sz w:val="36"/>
                <w:szCs w:val="36"/>
              </w:rPr>
            </w:pPr>
            <w:r>
              <w:rPr>
                <w:rFonts w:hint="eastAsia" w:ascii="方正小标宋简体" w:hAnsi="方正小标宋简体" w:eastAsia="方正小标宋简体" w:cs="方正小标宋简体"/>
                <w:color w:val="000000"/>
                <w:kern w:val="0"/>
                <w:sz w:val="36"/>
                <w:szCs w:val="36"/>
              </w:rPr>
              <w:t>红海湾区准备期机关事业单位养老保险基金清算和职业年金基金实账积累工作推进表</w:t>
            </w:r>
          </w:p>
        </w:tc>
      </w:tr>
      <w:tr>
        <w:tblPrEx>
          <w:tblCellMar>
            <w:top w:w="0" w:type="dxa"/>
            <w:left w:w="108" w:type="dxa"/>
            <w:bottom w:w="0" w:type="dxa"/>
            <w:right w:w="108" w:type="dxa"/>
          </w:tblCellMar>
        </w:tblPrEx>
        <w:trPr>
          <w:trHeight w:val="444" w:hRule="atLeast"/>
        </w:trPr>
        <w:tc>
          <w:tcPr>
            <w:tcW w:w="7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项目</w:t>
            </w:r>
          </w:p>
        </w:tc>
        <w:tc>
          <w:tcPr>
            <w:tcW w:w="159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完成时间</w:t>
            </w:r>
          </w:p>
        </w:tc>
        <w:tc>
          <w:tcPr>
            <w:tcW w:w="225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工作任务</w:t>
            </w:r>
          </w:p>
        </w:tc>
        <w:tc>
          <w:tcPr>
            <w:tcW w:w="587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工作要求</w:t>
            </w:r>
          </w:p>
        </w:tc>
        <w:tc>
          <w:tcPr>
            <w:tcW w:w="178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责任单位</w:t>
            </w:r>
          </w:p>
        </w:tc>
        <w:tc>
          <w:tcPr>
            <w:tcW w:w="1455" w:type="dxa"/>
            <w:tcBorders>
              <w:top w:val="single" w:color="auto" w:sz="4" w:space="0"/>
              <w:left w:val="nil"/>
              <w:bottom w:val="single" w:color="auto" w:sz="4" w:space="0"/>
              <w:right w:val="nil"/>
            </w:tcBorders>
            <w:noWrap/>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 xml:space="preserve">协助单位 </w:t>
            </w:r>
          </w:p>
        </w:tc>
        <w:tc>
          <w:tcPr>
            <w:tcW w:w="7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备注</w:t>
            </w:r>
          </w:p>
        </w:tc>
      </w:tr>
      <w:tr>
        <w:tblPrEx>
          <w:tblCellMar>
            <w:top w:w="0" w:type="dxa"/>
            <w:left w:w="108" w:type="dxa"/>
            <w:bottom w:w="0" w:type="dxa"/>
            <w:right w:w="108" w:type="dxa"/>
          </w:tblCellMar>
        </w:tblPrEx>
        <w:trPr>
          <w:trHeight w:val="930" w:hRule="atLeast"/>
        </w:trPr>
        <w:tc>
          <w:tcPr>
            <w:tcW w:w="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59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6月25日前</w:t>
            </w:r>
          </w:p>
        </w:tc>
        <w:tc>
          <w:tcPr>
            <w:tcW w:w="225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上报调查摸底情况</w:t>
            </w:r>
          </w:p>
        </w:tc>
        <w:tc>
          <w:tcPr>
            <w:tcW w:w="5875"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24"/>
              </w:rPr>
            </w:pPr>
            <w:r>
              <w:rPr>
                <w:rFonts w:hint="eastAsia" w:ascii="仿宋" w:hAnsi="仿宋" w:eastAsia="仿宋" w:cs="宋体"/>
                <w:color w:val="000000"/>
                <w:kern w:val="0"/>
                <w:sz w:val="24"/>
              </w:rPr>
              <w:t>全面摸清我区准备期内单位和个入缴费征收情况，包括每个单位的单位和个人缴金额、已到账金额、未缴交或未归集的金额及其存放等方面情况。</w:t>
            </w:r>
          </w:p>
        </w:tc>
        <w:tc>
          <w:tcPr>
            <w:tcW w:w="178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区财政局、社保分局</w:t>
            </w:r>
          </w:p>
        </w:tc>
        <w:tc>
          <w:tcPr>
            <w:tcW w:w="145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区党工委组织人社局</w:t>
            </w:r>
          </w:p>
        </w:tc>
        <w:tc>
          <w:tcPr>
            <w:tcW w:w="70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864" w:hRule="atLeast"/>
        </w:trPr>
        <w:tc>
          <w:tcPr>
            <w:tcW w:w="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59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7月1日前</w:t>
            </w:r>
          </w:p>
        </w:tc>
        <w:tc>
          <w:tcPr>
            <w:tcW w:w="2255" w:type="dxa"/>
            <w:tcBorders>
              <w:top w:val="nil"/>
              <w:left w:val="nil"/>
              <w:bottom w:val="single" w:color="auto" w:sz="4" w:space="0"/>
              <w:right w:val="single" w:color="auto" w:sz="4" w:space="0"/>
            </w:tcBorders>
            <w:vAlign w:val="center"/>
          </w:tcPr>
          <w:p>
            <w:pPr>
              <w:widowControl/>
              <w:spacing w:line="240" w:lineRule="exact"/>
              <w:rPr>
                <w:rFonts w:ascii="仿宋" w:hAnsi="仿宋" w:eastAsia="仿宋" w:cs="宋体"/>
                <w:color w:val="000000"/>
                <w:kern w:val="0"/>
                <w:sz w:val="24"/>
              </w:rPr>
            </w:pPr>
            <w:r>
              <w:rPr>
                <w:rFonts w:hint="eastAsia" w:ascii="仿宋" w:hAnsi="仿宋" w:eastAsia="仿宋" w:cs="宋体"/>
                <w:color w:val="000000"/>
                <w:kern w:val="0"/>
                <w:sz w:val="24"/>
              </w:rPr>
              <w:t>未正常缴费的单位，按实际缴费金额扣缴</w:t>
            </w:r>
          </w:p>
        </w:tc>
        <w:tc>
          <w:tcPr>
            <w:tcW w:w="5875"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24"/>
              </w:rPr>
            </w:pPr>
            <w:r>
              <w:rPr>
                <w:rFonts w:hint="eastAsia" w:ascii="仿宋" w:hAnsi="仿宋" w:eastAsia="仿宋" w:cs="宋体"/>
                <w:color w:val="000000"/>
                <w:kern w:val="0"/>
                <w:sz w:val="24"/>
              </w:rPr>
              <w:t>未正常缴费的单位，从今年7月1日起按实际缴费金额扣缴，职业年金单位缴费部分实行实账积累，并按月征收。</w:t>
            </w:r>
          </w:p>
        </w:tc>
        <w:tc>
          <w:tcPr>
            <w:tcW w:w="1785"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宋体"/>
                <w:color w:val="000000"/>
                <w:kern w:val="0"/>
                <w:sz w:val="24"/>
              </w:rPr>
            </w:pPr>
            <w:r>
              <w:rPr>
                <w:rFonts w:hint="eastAsia" w:ascii="仿宋" w:hAnsi="仿宋" w:eastAsia="仿宋" w:cs="宋体"/>
                <w:color w:val="000000"/>
                <w:kern w:val="0"/>
                <w:sz w:val="24"/>
              </w:rPr>
              <w:t>各参保单位、区财政局、社保分局</w:t>
            </w:r>
          </w:p>
        </w:tc>
        <w:tc>
          <w:tcPr>
            <w:tcW w:w="145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区党工委组织人社局</w:t>
            </w:r>
          </w:p>
        </w:tc>
        <w:tc>
          <w:tcPr>
            <w:tcW w:w="70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753" w:hRule="atLeast"/>
        </w:trPr>
        <w:tc>
          <w:tcPr>
            <w:tcW w:w="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宋体"/>
                <w:color w:val="000000"/>
                <w:kern w:val="0"/>
                <w:sz w:val="24"/>
              </w:rPr>
            </w:pPr>
            <w:r>
              <w:rPr>
                <w:rFonts w:hint="eastAsia" w:ascii="仿宋" w:hAnsi="仿宋" w:eastAsia="仿宋" w:cs="宋体"/>
                <w:color w:val="000000"/>
                <w:kern w:val="0"/>
                <w:sz w:val="24"/>
              </w:rPr>
              <w:t>3</w:t>
            </w:r>
          </w:p>
        </w:tc>
        <w:tc>
          <w:tcPr>
            <w:tcW w:w="159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7月31日前</w:t>
            </w:r>
          </w:p>
        </w:tc>
        <w:tc>
          <w:tcPr>
            <w:tcW w:w="225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已缴交的个人缴费部分上划省归集户</w:t>
            </w:r>
          </w:p>
        </w:tc>
        <w:tc>
          <w:tcPr>
            <w:tcW w:w="5875"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24"/>
              </w:rPr>
            </w:pPr>
            <w:r>
              <w:rPr>
                <w:rFonts w:hint="eastAsia" w:ascii="仿宋" w:hAnsi="仿宋" w:eastAsia="仿宋" w:cs="宋体"/>
                <w:color w:val="000000"/>
                <w:kern w:val="0"/>
                <w:sz w:val="24"/>
              </w:rPr>
              <w:t>已缴交的个人缴费，在7月底前完成职业年金个人缴费资金清算并划转至省级职业年金基金归集账户。</w:t>
            </w:r>
          </w:p>
        </w:tc>
        <w:tc>
          <w:tcPr>
            <w:tcW w:w="178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区社保分局</w:t>
            </w:r>
          </w:p>
        </w:tc>
        <w:tc>
          <w:tcPr>
            <w:tcW w:w="145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区财政局</w:t>
            </w:r>
          </w:p>
        </w:tc>
        <w:tc>
          <w:tcPr>
            <w:tcW w:w="70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1320" w:hRule="atLeast"/>
        </w:trPr>
        <w:tc>
          <w:tcPr>
            <w:tcW w:w="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宋体"/>
                <w:color w:val="000000"/>
                <w:kern w:val="0"/>
                <w:sz w:val="24"/>
              </w:rPr>
            </w:pPr>
            <w:r>
              <w:rPr>
                <w:rFonts w:hint="eastAsia" w:ascii="仿宋" w:hAnsi="仿宋" w:eastAsia="仿宋" w:cs="宋体"/>
                <w:color w:val="000000"/>
                <w:kern w:val="0"/>
                <w:sz w:val="24"/>
              </w:rPr>
              <w:t>4</w:t>
            </w:r>
          </w:p>
        </w:tc>
        <w:tc>
          <w:tcPr>
            <w:tcW w:w="1590"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宋体"/>
                <w:color w:val="000000"/>
                <w:kern w:val="0"/>
                <w:sz w:val="24"/>
              </w:rPr>
            </w:pPr>
            <w:r>
              <w:rPr>
                <w:rFonts w:hint="eastAsia" w:ascii="仿宋" w:hAnsi="仿宋" w:eastAsia="仿宋" w:cs="宋体"/>
                <w:color w:val="000000"/>
                <w:kern w:val="0"/>
                <w:sz w:val="24"/>
              </w:rPr>
              <w:t>7月31日前</w:t>
            </w:r>
          </w:p>
        </w:tc>
        <w:tc>
          <w:tcPr>
            <w:tcW w:w="22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宋体"/>
                <w:color w:val="000000"/>
                <w:kern w:val="0"/>
                <w:sz w:val="24"/>
              </w:rPr>
            </w:pPr>
            <w:r>
              <w:rPr>
                <w:rFonts w:hint="eastAsia" w:ascii="仿宋" w:hAnsi="仿宋" w:eastAsia="仿宋" w:cs="宋体"/>
                <w:color w:val="000000"/>
                <w:kern w:val="0"/>
                <w:sz w:val="24"/>
              </w:rPr>
              <w:t>2019年1月至2019年6月期间在职工作人员和退休中人历年职业年金单位缴费记账部分金额</w:t>
            </w:r>
          </w:p>
        </w:tc>
        <w:tc>
          <w:tcPr>
            <w:tcW w:w="5875" w:type="dxa"/>
            <w:tcBorders>
              <w:top w:val="nil"/>
              <w:left w:val="nil"/>
              <w:bottom w:val="single" w:color="auto" w:sz="4" w:space="0"/>
              <w:right w:val="single" w:color="auto" w:sz="4" w:space="0"/>
            </w:tcBorders>
            <w:vAlign w:val="center"/>
          </w:tcPr>
          <w:p>
            <w:pPr>
              <w:widowControl/>
              <w:spacing w:line="24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各单位核算2019年1月至2019年6月期间本单位工作人员和退休中人历年职业年金单位缴费记账部分金额，提交区财政局制定补征计划并完成补缴工作。</w:t>
            </w:r>
          </w:p>
        </w:tc>
        <w:tc>
          <w:tcPr>
            <w:tcW w:w="1785"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宋体"/>
                <w:color w:val="000000"/>
                <w:kern w:val="0"/>
                <w:sz w:val="24"/>
              </w:rPr>
            </w:pPr>
            <w:r>
              <w:rPr>
                <w:rFonts w:hint="eastAsia" w:ascii="仿宋" w:hAnsi="仿宋" w:eastAsia="仿宋" w:cs="宋体"/>
                <w:color w:val="000000"/>
                <w:kern w:val="0"/>
                <w:sz w:val="24"/>
              </w:rPr>
              <w:t>各参保单位、区财政局、区社保分局</w:t>
            </w:r>
          </w:p>
        </w:tc>
        <w:tc>
          <w:tcPr>
            <w:tcW w:w="14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宋体"/>
                <w:color w:val="000000"/>
                <w:kern w:val="0"/>
                <w:sz w:val="24"/>
              </w:rPr>
            </w:pPr>
            <w:r>
              <w:rPr>
                <w:rFonts w:hint="eastAsia" w:ascii="仿宋" w:hAnsi="仿宋" w:eastAsia="仿宋" w:cs="宋体"/>
                <w:color w:val="000000"/>
                <w:kern w:val="0"/>
                <w:sz w:val="24"/>
              </w:rPr>
              <w:t>区党工委组织人社局</w:t>
            </w:r>
          </w:p>
        </w:tc>
        <w:tc>
          <w:tcPr>
            <w:tcW w:w="705" w:type="dxa"/>
            <w:tcBorders>
              <w:top w:val="nil"/>
              <w:left w:val="nil"/>
              <w:bottom w:val="single" w:color="auto" w:sz="4" w:space="0"/>
              <w:right w:val="single" w:color="auto" w:sz="4" w:space="0"/>
            </w:tcBorders>
            <w:noWrap/>
            <w:vAlign w:val="center"/>
          </w:tcPr>
          <w:p>
            <w:pPr>
              <w:widowControl/>
              <w:spacing w:line="240" w:lineRule="exact"/>
              <w:ind w:right="1191" w:rightChars="567"/>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1080" w:hRule="atLeast"/>
        </w:trPr>
        <w:tc>
          <w:tcPr>
            <w:tcW w:w="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159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8月31日前</w:t>
            </w:r>
          </w:p>
        </w:tc>
        <w:tc>
          <w:tcPr>
            <w:tcW w:w="2255"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24"/>
              </w:rPr>
            </w:pPr>
            <w:r>
              <w:rPr>
                <w:rFonts w:hint="eastAsia" w:ascii="仿宋" w:hAnsi="仿宋" w:eastAsia="仿宋" w:cs="宋体"/>
                <w:color w:val="000000"/>
                <w:kern w:val="0"/>
                <w:sz w:val="24"/>
              </w:rPr>
              <w:t>需补缴的个人缴费及非财政全额供款单位的单位缴费上划省归集户</w:t>
            </w:r>
          </w:p>
        </w:tc>
        <w:tc>
          <w:tcPr>
            <w:tcW w:w="5875"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24"/>
              </w:rPr>
            </w:pPr>
            <w:r>
              <w:rPr>
                <w:rFonts w:hint="eastAsia" w:ascii="仿宋" w:hAnsi="仿宋" w:eastAsia="仿宋" w:cs="宋体"/>
                <w:color w:val="000000"/>
                <w:kern w:val="0"/>
                <w:sz w:val="24"/>
              </w:rPr>
              <w:t>需补缴的个人缴费及非财政全额供款单位的单位缴费，在8月底前完成职业年金基金清算并划转至省级职业年金基金归集账户。</w:t>
            </w:r>
          </w:p>
        </w:tc>
        <w:tc>
          <w:tcPr>
            <w:tcW w:w="178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区社保分局</w:t>
            </w:r>
          </w:p>
        </w:tc>
        <w:tc>
          <w:tcPr>
            <w:tcW w:w="145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区财政局</w:t>
            </w:r>
          </w:p>
        </w:tc>
        <w:tc>
          <w:tcPr>
            <w:tcW w:w="705" w:type="dxa"/>
            <w:tcBorders>
              <w:top w:val="nil"/>
              <w:left w:val="nil"/>
              <w:bottom w:val="single" w:color="auto" w:sz="4" w:space="0"/>
              <w:right w:val="single" w:color="auto" w:sz="4" w:space="0"/>
            </w:tcBorders>
            <w:noWrap/>
            <w:vAlign w:val="center"/>
          </w:tcPr>
          <w:p>
            <w:pPr>
              <w:widowControl/>
              <w:spacing w:line="240" w:lineRule="exact"/>
              <w:ind w:right="1191" w:rightChars="567"/>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713" w:hRule="atLeast"/>
        </w:trPr>
        <w:tc>
          <w:tcPr>
            <w:tcW w:w="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59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10月31日前</w:t>
            </w:r>
          </w:p>
        </w:tc>
        <w:tc>
          <w:tcPr>
            <w:tcW w:w="225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清算完成时间</w:t>
            </w:r>
          </w:p>
        </w:tc>
        <w:tc>
          <w:tcPr>
            <w:tcW w:w="5875"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24"/>
              </w:rPr>
            </w:pPr>
            <w:r>
              <w:rPr>
                <w:rFonts w:hint="eastAsia" w:ascii="仿宋" w:hAnsi="仿宋" w:eastAsia="仿宋" w:cs="宋体"/>
                <w:color w:val="000000"/>
                <w:kern w:val="0"/>
                <w:sz w:val="24"/>
              </w:rPr>
              <w:t>准备期机关事业单位养老保险基金清算工作在2019年10月底前完成。</w:t>
            </w:r>
          </w:p>
        </w:tc>
        <w:tc>
          <w:tcPr>
            <w:tcW w:w="178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区财政局、社保分局</w:t>
            </w:r>
          </w:p>
        </w:tc>
        <w:tc>
          <w:tcPr>
            <w:tcW w:w="145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各参保单位</w:t>
            </w:r>
          </w:p>
        </w:tc>
        <w:tc>
          <w:tcPr>
            <w:tcW w:w="70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990" w:hRule="atLeast"/>
        </w:trPr>
        <w:tc>
          <w:tcPr>
            <w:tcW w:w="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159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11月3</w:t>
            </w:r>
            <w:r>
              <w:rPr>
                <w:rFonts w:hint="eastAsia" w:ascii="仿宋" w:hAnsi="仿宋" w:eastAsia="仿宋" w:cs="宋体"/>
                <w:color w:val="000000"/>
                <w:kern w:val="0"/>
                <w:sz w:val="24"/>
                <w:lang w:val="en-US" w:eastAsia="zh-CN"/>
              </w:rPr>
              <w:t>0</w:t>
            </w:r>
            <w:bookmarkStart w:id="0" w:name="_GoBack"/>
            <w:bookmarkEnd w:id="0"/>
            <w:r>
              <w:rPr>
                <w:rFonts w:hint="eastAsia" w:ascii="仿宋" w:hAnsi="仿宋" w:eastAsia="仿宋" w:cs="宋体"/>
                <w:color w:val="000000"/>
                <w:kern w:val="0"/>
                <w:sz w:val="24"/>
              </w:rPr>
              <w:t>日前</w:t>
            </w:r>
          </w:p>
        </w:tc>
        <w:tc>
          <w:tcPr>
            <w:tcW w:w="2255"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24"/>
              </w:rPr>
            </w:pPr>
            <w:r>
              <w:rPr>
                <w:rFonts w:hint="eastAsia" w:ascii="仿宋" w:hAnsi="仿宋" w:eastAsia="仿宋" w:cs="宋体"/>
                <w:color w:val="000000"/>
                <w:kern w:val="0"/>
                <w:sz w:val="24"/>
              </w:rPr>
              <w:t>清算完成资金归集上划省归集户</w:t>
            </w:r>
          </w:p>
        </w:tc>
        <w:tc>
          <w:tcPr>
            <w:tcW w:w="5875"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24"/>
              </w:rPr>
            </w:pPr>
            <w:r>
              <w:rPr>
                <w:rFonts w:hint="eastAsia" w:ascii="仿宋" w:hAnsi="仿宋" w:eastAsia="仿宋" w:cs="宋体"/>
                <w:color w:val="000000"/>
                <w:kern w:val="0"/>
                <w:sz w:val="24"/>
              </w:rPr>
              <w:t>清算完成后一个月内，完成相关资金的划转和职业年金基金归集。</w:t>
            </w:r>
          </w:p>
        </w:tc>
        <w:tc>
          <w:tcPr>
            <w:tcW w:w="178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区社保分局</w:t>
            </w:r>
          </w:p>
        </w:tc>
        <w:tc>
          <w:tcPr>
            <w:tcW w:w="145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区财政局</w:t>
            </w:r>
          </w:p>
        </w:tc>
        <w:tc>
          <w:tcPr>
            <w:tcW w:w="70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1065" w:hRule="atLeast"/>
        </w:trPr>
        <w:tc>
          <w:tcPr>
            <w:tcW w:w="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159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6 月—11 月</w:t>
            </w:r>
          </w:p>
        </w:tc>
        <w:tc>
          <w:tcPr>
            <w:tcW w:w="225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工作督导</w:t>
            </w:r>
          </w:p>
        </w:tc>
        <w:tc>
          <w:tcPr>
            <w:tcW w:w="5875"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24"/>
              </w:rPr>
            </w:pPr>
            <w:r>
              <w:rPr>
                <w:rFonts w:hint="eastAsia" w:ascii="仿宋" w:hAnsi="仿宋" w:eastAsia="仿宋" w:cs="宋体"/>
                <w:color w:val="000000"/>
                <w:kern w:val="0"/>
                <w:sz w:val="24"/>
              </w:rPr>
              <w:t>区机关事业单位养老保险制度改革实施准备期基金清算工作领导小组根据各单工作推进情况，及时督促指各相关单位工作开展。</w:t>
            </w:r>
          </w:p>
        </w:tc>
        <w:tc>
          <w:tcPr>
            <w:tcW w:w="178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区单工位组织人社局、财政局、社保分局</w:t>
            </w:r>
          </w:p>
        </w:tc>
        <w:tc>
          <w:tcPr>
            <w:tcW w:w="145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p>
        </w:tc>
        <w:tc>
          <w:tcPr>
            <w:tcW w:w="70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4445" w:type="dxa"/>
            <w:gridSpan w:val="7"/>
            <w:tcBorders>
              <w:top w:val="nil"/>
              <w:left w:val="nil"/>
              <w:bottom w:val="nil"/>
              <w:right w:val="nil"/>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注:准备期是指机关事业单位养老保险制度改革实际实施时间与国家规定实施时间 (2014 年 10 月 1 日）之间的错后期。</w:t>
            </w:r>
          </w:p>
        </w:tc>
      </w:tr>
    </w:tbl>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xZjdiNGMyOGY1ZWQ5NWM0M2MzMTczMDIyNTE5ZTgifQ=="/>
  </w:docVars>
  <w:rsids>
    <w:rsidRoot w:val="00BD6EE6"/>
    <w:rsid w:val="000F5F8B"/>
    <w:rsid w:val="00180CA4"/>
    <w:rsid w:val="001D3755"/>
    <w:rsid w:val="00224306"/>
    <w:rsid w:val="00240017"/>
    <w:rsid w:val="00255FA8"/>
    <w:rsid w:val="004202BE"/>
    <w:rsid w:val="005D00DD"/>
    <w:rsid w:val="005F6AE3"/>
    <w:rsid w:val="00796CA3"/>
    <w:rsid w:val="009274D8"/>
    <w:rsid w:val="00B3450B"/>
    <w:rsid w:val="00BD6EE6"/>
    <w:rsid w:val="00CD0559"/>
    <w:rsid w:val="22EA6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link w:val="8"/>
    <w:qFormat/>
    <w:uiPriority w:val="9"/>
    <w:pPr>
      <w:keepNext/>
      <w:pBdr>
        <w:bottom w:val="single" w:color="0070C0" w:sz="12" w:space="4"/>
      </w:pBdr>
      <w:snapToGrid w:val="0"/>
      <w:spacing w:before="480" w:after="360" w:line="240" w:lineRule="atLeast"/>
      <w:jc w:val="center"/>
      <w:outlineLvl w:val="0"/>
    </w:pPr>
    <w:rPr>
      <w:rFonts w:ascii="微软雅黑" w:hAnsi="微软雅黑" w:eastAsia="微软雅黑" w:cs="宋体"/>
      <w:color w:val="0070C0"/>
      <w:kern w:val="0"/>
      <w:sz w:val="30"/>
      <w:szCs w:val="30"/>
      <w:lang w:val="en-US" w:eastAsia="zh-CN" w:bidi="ar-SA"/>
    </w:rPr>
  </w:style>
  <w:style w:type="paragraph" w:styleId="3">
    <w:name w:val="heading 2"/>
    <w:next w:val="1"/>
    <w:link w:val="9"/>
    <w:unhideWhenUsed/>
    <w:qFormat/>
    <w:uiPriority w:val="9"/>
    <w:pPr>
      <w:shd w:val="clear" w:color="auto" w:fill="FDE9D9" w:themeFill="accent6" w:themeFillTint="33"/>
      <w:spacing w:before="240" w:after="120" w:line="384" w:lineRule="atLeast"/>
      <w:jc w:val="both"/>
      <w:outlineLvl w:val="1"/>
    </w:pPr>
    <w:rPr>
      <w:rFonts w:ascii="微软雅黑" w:hAnsi="微软雅黑" w:eastAsia="微软雅黑" w:cs="宋体"/>
      <w:caps/>
      <w:color w:val="0070C0"/>
      <w:kern w:val="0"/>
      <w:sz w:val="24"/>
      <w:szCs w:val="24"/>
      <w:lang w:val="en-US" w:eastAsia="zh-CN" w:bidi="ar-SA"/>
    </w:rPr>
  </w:style>
  <w:style w:type="paragraph" w:styleId="4">
    <w:name w:val="heading 3"/>
    <w:basedOn w:val="1"/>
    <w:next w:val="1"/>
    <w:link w:val="7"/>
    <w:unhideWhenUsed/>
    <w:qFormat/>
    <w:uiPriority w:val="9"/>
    <w:pPr>
      <w:widowControl/>
      <w:snapToGrid w:val="0"/>
      <w:spacing w:before="240" w:after="60"/>
      <w:outlineLvl w:val="2"/>
    </w:pPr>
    <w:rPr>
      <w:rFonts w:ascii="微软雅黑" w:hAnsi="微软雅黑" w:eastAsia="微软雅黑" w:cs="宋体"/>
      <w:bCs/>
      <w:color w:val="00B050"/>
      <w:kern w:val="0"/>
      <w:sz w:val="22"/>
      <w:szCs w:val="2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customStyle="1" w:styleId="7">
    <w:name w:val="标题 3 Char"/>
    <w:basedOn w:val="6"/>
    <w:link w:val="4"/>
    <w:qFormat/>
    <w:uiPriority w:val="9"/>
    <w:rPr>
      <w:rFonts w:ascii="微软雅黑" w:hAnsi="微软雅黑" w:eastAsia="微软雅黑" w:cs="宋体"/>
      <w:bCs/>
      <w:color w:val="00B050"/>
      <w:kern w:val="0"/>
      <w:sz w:val="22"/>
    </w:rPr>
  </w:style>
  <w:style w:type="character" w:customStyle="1" w:styleId="8">
    <w:name w:val="标题 1 Char"/>
    <w:basedOn w:val="6"/>
    <w:link w:val="2"/>
    <w:qFormat/>
    <w:uiPriority w:val="9"/>
    <w:rPr>
      <w:rFonts w:ascii="微软雅黑" w:hAnsi="微软雅黑" w:eastAsia="微软雅黑" w:cs="宋体"/>
      <w:color w:val="0070C0"/>
      <w:kern w:val="0"/>
      <w:sz w:val="30"/>
      <w:szCs w:val="30"/>
    </w:rPr>
  </w:style>
  <w:style w:type="character" w:customStyle="1" w:styleId="9">
    <w:name w:val="标题 2 Char"/>
    <w:basedOn w:val="6"/>
    <w:link w:val="3"/>
    <w:qFormat/>
    <w:uiPriority w:val="9"/>
    <w:rPr>
      <w:rFonts w:ascii="微软雅黑" w:hAnsi="微软雅黑" w:eastAsia="微软雅黑" w:cs="宋体"/>
      <w:caps/>
      <w:color w:val="0070C0"/>
      <w:kern w:val="0"/>
      <w:sz w:val="24"/>
      <w:szCs w:val="24"/>
      <w:shd w:val="clear" w:color="auto" w:fill="FDE9D9" w:themeFill="accent6" w:themeFillTint="33"/>
    </w:rPr>
  </w:style>
  <w:style w:type="paragraph" w:customStyle="1" w:styleId="10">
    <w:name w:val="附件正文"/>
    <w:link w:val="11"/>
    <w:qFormat/>
    <w:uiPriority w:val="0"/>
    <w:pPr>
      <w:spacing w:after="60" w:line="276" w:lineRule="auto"/>
      <w:ind w:firstLine="200" w:firstLineChars="200"/>
      <w:jc w:val="both"/>
    </w:pPr>
    <w:rPr>
      <w:rFonts w:asciiTheme="minorHAnsi" w:hAnsiTheme="minorHAnsi" w:eastAsiaTheme="minorEastAsia" w:cstheme="minorBidi"/>
      <w:kern w:val="0"/>
      <w:sz w:val="21"/>
      <w:szCs w:val="22"/>
      <w:lang w:val="en-US" w:eastAsia="zh-CN" w:bidi="ar-SA"/>
    </w:rPr>
  </w:style>
  <w:style w:type="character" w:customStyle="1" w:styleId="11">
    <w:name w:val="附件正文 Char"/>
    <w:basedOn w:val="6"/>
    <w:link w:val="10"/>
    <w:qFormat/>
    <w:uiPriority w:val="0"/>
    <w:rPr>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139</Words>
  <Characters>795</Characters>
  <Lines>6</Lines>
  <Paragraphs>1</Paragraphs>
  <TotalTime>1</TotalTime>
  <ScaleCrop>false</ScaleCrop>
  <LinksUpToDate>false</LinksUpToDate>
  <CharactersWithSpaces>933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2020-08-13T04:47:00Z</dcterms:created>
  <dc:creator>xbany</dc:creator>
  <cp:lastModifiedBy>Administrator</cp:lastModifiedBy>
  <dcterms:modified xsi:type="dcterms:W3CDTF">2023-11-01T08:43:52Z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954C7589076241838F68208DCD692C8E_12</vt:lpwstr>
  </property>
</Properties>
</file>