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0"/>
        <w:rPr>
          <w:rStyle w:val="9"/>
          <w:rFonts w:hint="eastAsia" w:ascii="方正小标宋简体" w:hAnsi="方正小标宋简体" w:eastAsia="方正小标宋简体" w:cs="方正小标宋简体"/>
          <w:b w:val="0"/>
          <w:bCs/>
          <w:color w:val="333333"/>
          <w:spacing w:val="0"/>
          <w:sz w:val="44"/>
          <w:szCs w:val="44"/>
          <w:u w:val="none"/>
        </w:rPr>
      </w:pPr>
      <w:bookmarkStart w:id="0" w:name="_GoBack"/>
      <w:r>
        <w:rPr>
          <w:rStyle w:val="9"/>
          <w:rFonts w:hint="eastAsia" w:ascii="方正小标宋简体" w:hAnsi="方正小标宋简体" w:eastAsia="方正小标宋简体" w:cs="方正小标宋简体"/>
          <w:b w:val="0"/>
          <w:bCs/>
          <w:color w:val="333333"/>
          <w:spacing w:val="0"/>
          <w:sz w:val="44"/>
          <w:szCs w:val="44"/>
          <w:u w:val="none"/>
          <w:lang w:eastAsia="zh-CN"/>
        </w:rPr>
        <w:t>汕尾市</w:t>
      </w:r>
      <w:r>
        <w:rPr>
          <w:rStyle w:val="9"/>
          <w:rFonts w:hint="eastAsia" w:ascii="方正小标宋简体" w:hAnsi="方正小标宋简体" w:eastAsia="方正小标宋简体" w:cs="方正小标宋简体"/>
          <w:b w:val="0"/>
          <w:bCs/>
          <w:color w:val="333333"/>
          <w:spacing w:val="0"/>
          <w:sz w:val="44"/>
          <w:szCs w:val="44"/>
          <w:u w:val="none"/>
        </w:rPr>
        <w:t>先进制造业发展专项资金（普惠性</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0"/>
        <w:rPr>
          <w:rStyle w:val="9"/>
          <w:rFonts w:hint="eastAsia" w:ascii="方正小标宋简体" w:hAnsi="方正小标宋简体" w:eastAsia="方正小标宋简体" w:cs="方正小标宋简体"/>
          <w:b w:val="0"/>
          <w:bCs/>
          <w:color w:val="333333"/>
          <w:spacing w:val="0"/>
          <w:sz w:val="44"/>
          <w:szCs w:val="44"/>
          <w:u w:val="none"/>
        </w:rPr>
      </w:pPr>
      <w:r>
        <w:rPr>
          <w:rStyle w:val="9"/>
          <w:rFonts w:hint="eastAsia" w:ascii="方正小标宋简体" w:hAnsi="方正小标宋简体" w:eastAsia="方正小标宋简体" w:cs="方正小标宋简体"/>
          <w:b w:val="0"/>
          <w:bCs/>
          <w:color w:val="333333"/>
          <w:spacing w:val="0"/>
          <w:sz w:val="44"/>
          <w:szCs w:val="44"/>
          <w:u w:val="none"/>
        </w:rPr>
        <w:t>制造业投资奖励）管理实施细则</w:t>
      </w:r>
    </w:p>
    <w:bookmarkEnd w:id="0"/>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Style w:val="9"/>
          <w:rFonts w:hint="eastAsia" w:ascii="方正小标宋简体" w:hAnsi="方正小标宋简体" w:eastAsia="方正小标宋简体" w:cs="方正小标宋简体"/>
          <w:b w:val="0"/>
          <w:bCs/>
          <w:color w:val="333333"/>
          <w:spacing w:val="0"/>
          <w:sz w:val="44"/>
          <w:szCs w:val="44"/>
          <w:u w:val="none"/>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0"/>
        <w:rPr>
          <w:rFonts w:ascii="宋体" w:hAnsi="宋体" w:eastAsia="宋体" w:cs="宋体"/>
          <w:color w:val="333333"/>
          <w:spacing w:val="0"/>
          <w:sz w:val="32"/>
          <w:szCs w:val="32"/>
          <w:u w:val="none"/>
        </w:rPr>
      </w:pPr>
      <w:r>
        <w:rPr>
          <w:rStyle w:val="9"/>
          <w:rFonts w:hint="eastAsia" w:ascii="黑体" w:hAnsi="黑体" w:eastAsia="黑体" w:cs="黑体"/>
          <w:b w:val="0"/>
          <w:bCs/>
          <w:color w:val="auto"/>
          <w:spacing w:val="0"/>
          <w:sz w:val="32"/>
          <w:szCs w:val="32"/>
          <w:u w:val="none"/>
        </w:rPr>
        <w:t>第一章 总则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333333"/>
          <w:spacing w:val="0"/>
          <w:sz w:val="32"/>
          <w:szCs w:val="32"/>
          <w:u w:val="none"/>
        </w:rPr>
      </w:pPr>
      <w:r>
        <w:rPr>
          <w:rStyle w:val="9"/>
          <w:rFonts w:hint="eastAsia" w:ascii="黑体" w:hAnsi="黑体" w:eastAsia="黑体" w:cs="黑体"/>
          <w:b w:val="0"/>
          <w:bCs/>
          <w:color w:val="auto"/>
          <w:spacing w:val="0"/>
          <w:sz w:val="32"/>
          <w:szCs w:val="32"/>
          <w:u w:val="none"/>
        </w:rPr>
        <w:t>第一条</w:t>
      </w:r>
      <w:r>
        <w:rPr>
          <w:rStyle w:val="9"/>
          <w:rFonts w:hint="eastAsia" w:ascii="黑体" w:hAnsi="黑体" w:eastAsia="黑体" w:cs="黑体"/>
          <w:b w:val="0"/>
          <w:bCs/>
          <w:color w:val="auto"/>
          <w:spacing w:val="0"/>
          <w:sz w:val="32"/>
          <w:szCs w:val="32"/>
          <w:u w:val="none"/>
          <w:lang w:val="en-US" w:eastAsia="zh-CN"/>
        </w:rPr>
        <w:t xml:space="preserve">  </w:t>
      </w:r>
      <w:r>
        <w:rPr>
          <w:rFonts w:hint="eastAsia" w:ascii="仿宋_GB2312" w:hAnsi="宋体" w:eastAsia="仿宋_GB2312" w:cs="仿宋_GB2312"/>
          <w:color w:val="000000"/>
          <w:kern w:val="0"/>
          <w:sz w:val="32"/>
          <w:szCs w:val="32"/>
          <w:lang w:val="en-US" w:eastAsia="zh-CN" w:bidi="ar"/>
        </w:rPr>
        <w:t>根据《广东省人民政府关于印发广东省加快先进制造业项目投资建设若干政策措施的通知》（粤府〔2021〕21号）、《广东省工业和信息化厅广东省财政厅印发广东省先进制造业发展专项资金（普惠性制造业投资奖励）管理实施细则（修订本）的通知》（粤工信技改函〔2022〕7号）等规定，为规范本市省级先进制造业发展专项资金（普惠性制造业投资奖励）管理，结合我市实际，制定本实施细则。</w:t>
      </w:r>
      <w:r>
        <w:rPr>
          <w:rFonts w:hint="eastAsia" w:ascii="仿宋_GB2312" w:hAnsi="仿宋_GB2312" w:eastAsia="仿宋_GB2312" w:cs="仿宋_GB2312"/>
          <w:color w:val="333333"/>
          <w:spacing w:val="0"/>
          <w:sz w:val="32"/>
          <w:szCs w:val="32"/>
          <w:u w:val="none"/>
        </w:rPr>
        <w:br w:type="textWrapping"/>
      </w:r>
      <w:r>
        <w:rPr>
          <w:rFonts w:hint="eastAsia" w:ascii="仿宋_GB2312" w:hAnsi="仿宋_GB2312" w:eastAsia="仿宋_GB2312" w:cs="仿宋_GB2312"/>
          <w:color w:val="333333"/>
          <w:spacing w:val="0"/>
          <w:sz w:val="32"/>
          <w:szCs w:val="32"/>
          <w:u w:val="none"/>
          <w:lang w:val="en-US" w:eastAsia="zh-CN"/>
        </w:rPr>
        <w:t xml:space="preserve">    </w:t>
      </w:r>
      <w:r>
        <w:rPr>
          <w:rStyle w:val="9"/>
          <w:rFonts w:hint="eastAsia" w:ascii="黑体" w:hAnsi="黑体" w:eastAsia="黑体" w:cs="黑体"/>
          <w:b w:val="0"/>
          <w:bCs/>
          <w:color w:val="auto"/>
          <w:spacing w:val="0"/>
          <w:sz w:val="32"/>
          <w:szCs w:val="32"/>
          <w:u w:val="none"/>
        </w:rPr>
        <w:t>第二条</w:t>
      </w:r>
      <w:r>
        <w:rPr>
          <w:rStyle w:val="9"/>
          <w:rFonts w:hint="eastAsia" w:ascii="黑体" w:hAnsi="黑体" w:eastAsia="黑体" w:cs="黑体"/>
          <w:b w:val="0"/>
          <w:bCs/>
          <w:color w:val="auto"/>
          <w:spacing w:val="0"/>
          <w:sz w:val="32"/>
          <w:szCs w:val="32"/>
          <w:u w:val="none"/>
          <w:lang w:val="en-US" w:eastAsia="zh-CN"/>
        </w:rPr>
        <w:t xml:space="preserve">  </w:t>
      </w:r>
      <w:r>
        <w:rPr>
          <w:rFonts w:hint="eastAsia" w:ascii="仿宋_GB2312" w:hAnsi="宋体" w:eastAsia="仿宋_GB2312" w:cs="仿宋_GB2312"/>
          <w:color w:val="000000"/>
          <w:kern w:val="0"/>
          <w:sz w:val="32"/>
          <w:szCs w:val="32"/>
          <w:lang w:val="en-US" w:eastAsia="zh-CN" w:bidi="ar"/>
        </w:rPr>
        <w:t>本实施细则所称省级先进制造业发展专项资金（普惠性制造业投资奖励）（以下简称“投资奖励资金”），是指省财政根据我市符合条件的制造业项目投资建设情况，按规定奖励给汕尾市人民政府（以下简称“市政府”）的专项资金。投资奖励资金由市政府按规定用途统筹用于支持制造业项目引进建设。</w:t>
      </w:r>
      <w:r>
        <w:rPr>
          <w:rFonts w:hint="eastAsia" w:ascii="仿宋_GB2312" w:hAnsi="仿宋_GB2312" w:eastAsia="仿宋_GB2312" w:cs="仿宋_GB2312"/>
          <w:color w:val="333333"/>
          <w:spacing w:val="0"/>
          <w:sz w:val="32"/>
          <w:szCs w:val="32"/>
          <w:u w:val="none"/>
        </w:rPr>
        <w:br w:type="textWrapping"/>
      </w:r>
      <w:r>
        <w:rPr>
          <w:rFonts w:hint="eastAsia" w:ascii="仿宋_GB2312" w:hAnsi="仿宋_GB2312" w:eastAsia="仿宋_GB2312" w:cs="仿宋_GB2312"/>
          <w:color w:val="333333"/>
          <w:spacing w:val="0"/>
          <w:sz w:val="32"/>
          <w:szCs w:val="32"/>
          <w:u w:val="none"/>
          <w:lang w:val="en-US" w:eastAsia="zh-CN"/>
        </w:rPr>
        <w:t xml:space="preserve">    </w:t>
      </w:r>
      <w:r>
        <w:rPr>
          <w:rStyle w:val="9"/>
          <w:rFonts w:hint="eastAsia" w:ascii="黑体" w:hAnsi="黑体" w:eastAsia="黑体" w:cs="黑体"/>
          <w:b w:val="0"/>
          <w:bCs/>
          <w:color w:val="auto"/>
          <w:spacing w:val="0"/>
          <w:sz w:val="32"/>
          <w:szCs w:val="32"/>
          <w:u w:val="none"/>
        </w:rPr>
        <w:t>第三条</w:t>
      </w:r>
      <w:r>
        <w:rPr>
          <w:rStyle w:val="9"/>
          <w:rFonts w:hint="eastAsia" w:ascii="黑体" w:hAnsi="黑体" w:eastAsia="黑体" w:cs="黑体"/>
          <w:b w:val="0"/>
          <w:bCs/>
          <w:color w:val="auto"/>
          <w:spacing w:val="0"/>
          <w:sz w:val="32"/>
          <w:szCs w:val="32"/>
          <w:u w:val="none"/>
          <w:lang w:val="en-US" w:eastAsia="zh-CN"/>
        </w:rPr>
        <w:t xml:space="preserve">  </w:t>
      </w:r>
      <w:r>
        <w:rPr>
          <w:rFonts w:hint="eastAsia" w:ascii="仿宋_GB2312" w:hAnsi="宋体" w:eastAsia="仿宋_GB2312" w:cs="仿宋_GB2312"/>
          <w:color w:val="000000"/>
          <w:kern w:val="0"/>
          <w:sz w:val="32"/>
          <w:szCs w:val="32"/>
          <w:lang w:val="en-US" w:eastAsia="zh-CN" w:bidi="ar"/>
        </w:rPr>
        <w:t>本实施细则所称投资奖励资金测算奖励额度的项目（以下简称“测算项目”），是指经市政府评审后用于测算投资奖励资金符合条件的制造业项目；投资奖励资金支持项目（以下简称“支持项目”）是指按照投资奖励资金使用范围经市政府评审遴选后予以支持的项目。测算项目用于测算投资奖励资金额度，支持项目也可以是测算项目之外的项目。支持项目须符合投资奖励资金适用范围，可从符合条件的制造业项目中评审遴选产生。</w:t>
      </w:r>
      <w:r>
        <w:rPr>
          <w:rFonts w:hint="eastAsia" w:ascii="仿宋_GB2312" w:hAnsi="宋体" w:eastAsia="仿宋_GB2312" w:cs="仿宋_GB2312"/>
          <w:color w:val="000000"/>
          <w:kern w:val="0"/>
          <w:sz w:val="32"/>
          <w:szCs w:val="32"/>
          <w:lang w:val="en-US" w:eastAsia="zh-CN" w:bidi="ar"/>
        </w:rPr>
        <w:br w:type="textWrapping"/>
      </w:r>
      <w:r>
        <w:rPr>
          <w:rFonts w:hint="eastAsia" w:ascii="仿宋_GB2312" w:hAnsi="仿宋_GB2312" w:eastAsia="仿宋_GB2312" w:cs="仿宋_GB2312"/>
          <w:color w:val="333333"/>
          <w:spacing w:val="0"/>
          <w:sz w:val="32"/>
          <w:szCs w:val="32"/>
          <w:u w:val="none"/>
          <w:lang w:val="en-US" w:eastAsia="zh-CN"/>
        </w:rPr>
        <w:t xml:space="preserve">    </w:t>
      </w:r>
      <w:r>
        <w:rPr>
          <w:rStyle w:val="9"/>
          <w:rFonts w:hint="eastAsia" w:ascii="黑体" w:hAnsi="黑体" w:eastAsia="黑体" w:cs="黑体"/>
          <w:b w:val="0"/>
          <w:bCs/>
          <w:color w:val="auto"/>
          <w:spacing w:val="0"/>
          <w:sz w:val="32"/>
          <w:szCs w:val="32"/>
          <w:u w:val="none"/>
        </w:rPr>
        <w:t>第四条</w:t>
      </w:r>
      <w:r>
        <w:rPr>
          <w:rStyle w:val="9"/>
          <w:rFonts w:hint="eastAsia" w:ascii="黑体" w:hAnsi="黑体" w:eastAsia="黑体" w:cs="黑体"/>
          <w:b w:val="0"/>
          <w:bCs/>
          <w:color w:val="auto"/>
          <w:spacing w:val="0"/>
          <w:sz w:val="32"/>
          <w:szCs w:val="32"/>
          <w:u w:val="none"/>
          <w:lang w:val="en-US" w:eastAsia="zh-CN"/>
        </w:rPr>
        <w:t xml:space="preserve">  </w:t>
      </w:r>
      <w:r>
        <w:rPr>
          <w:rFonts w:hint="eastAsia" w:ascii="仿宋_GB2312" w:hAnsi="宋体" w:eastAsia="仿宋_GB2312" w:cs="仿宋_GB2312"/>
          <w:color w:val="000000"/>
          <w:kern w:val="0"/>
          <w:sz w:val="32"/>
          <w:szCs w:val="32"/>
          <w:lang w:val="en-US" w:eastAsia="zh-CN" w:bidi="ar"/>
        </w:rPr>
        <w:t>本实施细则所称新增实际固定资产投资是指符合条件的测算项目或支持项目在规定时限内完成并经市政府审核确定的实际固定资产投资额。</w:t>
      </w:r>
      <w:r>
        <w:rPr>
          <w:rFonts w:hint="eastAsia" w:ascii="仿宋_GB2312" w:hAnsi="仿宋_GB2312" w:eastAsia="仿宋_GB2312" w:cs="仿宋_GB2312"/>
          <w:color w:val="333333"/>
          <w:spacing w:val="0"/>
          <w:sz w:val="32"/>
          <w:szCs w:val="32"/>
          <w:u w:val="none"/>
        </w:rPr>
        <w:br w:type="textWrapping"/>
      </w:r>
      <w:r>
        <w:rPr>
          <w:rFonts w:hint="eastAsia" w:ascii="仿宋_GB2312" w:hAnsi="仿宋_GB2312" w:eastAsia="仿宋_GB2312" w:cs="仿宋_GB2312"/>
          <w:color w:val="333333"/>
          <w:spacing w:val="0"/>
          <w:sz w:val="32"/>
          <w:szCs w:val="32"/>
          <w:u w:val="none"/>
          <w:lang w:val="en-US" w:eastAsia="zh-CN"/>
        </w:rPr>
        <w:t xml:space="preserve">    </w:t>
      </w:r>
      <w:r>
        <w:rPr>
          <w:rStyle w:val="9"/>
          <w:rFonts w:hint="eastAsia" w:ascii="黑体" w:hAnsi="黑体" w:eastAsia="黑体" w:cs="黑体"/>
          <w:b w:val="0"/>
          <w:bCs/>
          <w:color w:val="auto"/>
          <w:spacing w:val="0"/>
          <w:sz w:val="32"/>
          <w:szCs w:val="32"/>
          <w:u w:val="none"/>
        </w:rPr>
        <w:t>第五条</w:t>
      </w:r>
      <w:r>
        <w:rPr>
          <w:rStyle w:val="9"/>
          <w:rFonts w:hint="eastAsia" w:ascii="黑体" w:hAnsi="黑体" w:eastAsia="黑体" w:cs="黑体"/>
          <w:b w:val="0"/>
          <w:bCs/>
          <w:color w:val="auto"/>
          <w:spacing w:val="0"/>
          <w:sz w:val="32"/>
          <w:szCs w:val="32"/>
          <w:u w:val="none"/>
          <w:lang w:val="en-US" w:eastAsia="zh-CN"/>
        </w:rPr>
        <w:t xml:space="preserve">  </w:t>
      </w:r>
      <w:r>
        <w:rPr>
          <w:rFonts w:hint="eastAsia" w:ascii="仿宋_GB2312" w:hAnsi="宋体" w:eastAsia="仿宋_GB2312" w:cs="仿宋_GB2312"/>
          <w:color w:val="000000"/>
          <w:kern w:val="0"/>
          <w:sz w:val="32"/>
          <w:szCs w:val="32"/>
          <w:lang w:val="en-US" w:eastAsia="zh-CN" w:bidi="ar"/>
        </w:rPr>
        <w:t>投资奖励资金申报及使用管理应遵循依法依规、公平公正、突出重点、科学分配、绩效导向、规范管理的原则。</w:t>
      </w:r>
      <w:r>
        <w:rPr>
          <w:rFonts w:hint="eastAsia" w:ascii="仿宋_GB2312" w:hAnsi="宋体" w:eastAsia="仿宋_GB2312" w:cs="仿宋_GB2312"/>
          <w:color w:val="000000"/>
          <w:kern w:val="0"/>
          <w:sz w:val="32"/>
          <w:szCs w:val="32"/>
          <w:lang w:val="en-US" w:eastAsia="zh-CN" w:bidi="ar"/>
        </w:rPr>
        <w:br w:type="textWrapping"/>
      </w:r>
      <w:r>
        <w:rPr>
          <w:rFonts w:hint="eastAsia" w:ascii="宋体" w:hAnsi="宋体" w:eastAsia="宋体" w:cs="宋体"/>
          <w:color w:val="333333"/>
          <w:spacing w:val="0"/>
          <w:sz w:val="25"/>
          <w:szCs w:val="25"/>
          <w:u w:val="none"/>
          <w:lang w:val="en-US" w:eastAsia="zh-CN"/>
        </w:rPr>
        <w:t xml:space="preserve">                         </w:t>
      </w:r>
      <w:r>
        <w:rPr>
          <w:rStyle w:val="9"/>
          <w:rFonts w:hint="eastAsia" w:ascii="黑体" w:hAnsi="黑体" w:eastAsia="黑体" w:cs="黑体"/>
          <w:b w:val="0"/>
          <w:bCs/>
          <w:color w:val="auto"/>
          <w:spacing w:val="0"/>
          <w:sz w:val="32"/>
          <w:szCs w:val="32"/>
          <w:u w:val="none"/>
        </w:rPr>
        <w:t>第二章 职责分工</w:t>
      </w:r>
      <w:r>
        <w:rPr>
          <w:rFonts w:ascii="宋体" w:hAnsi="宋体" w:eastAsia="宋体" w:cs="宋体"/>
          <w:color w:val="333333"/>
          <w:spacing w:val="0"/>
          <w:sz w:val="25"/>
          <w:szCs w:val="25"/>
          <w:u w:val="none"/>
        </w:rPr>
        <w:br w:type="textWrapping"/>
      </w:r>
      <w:r>
        <w:rPr>
          <w:rFonts w:hint="eastAsia" w:ascii="宋体" w:hAnsi="宋体" w:eastAsia="宋体" w:cs="宋体"/>
          <w:color w:val="333333"/>
          <w:spacing w:val="0"/>
          <w:sz w:val="25"/>
          <w:szCs w:val="25"/>
          <w:u w:val="none"/>
          <w:lang w:val="en-US" w:eastAsia="zh-CN"/>
        </w:rPr>
        <w:t xml:space="preserve">     </w:t>
      </w:r>
      <w:r>
        <w:rPr>
          <w:rStyle w:val="9"/>
          <w:rFonts w:hint="eastAsia" w:ascii="黑体" w:hAnsi="黑体" w:eastAsia="黑体" w:cs="黑体"/>
          <w:b w:val="0"/>
          <w:bCs/>
          <w:color w:val="auto"/>
          <w:spacing w:val="0"/>
          <w:sz w:val="32"/>
          <w:szCs w:val="32"/>
          <w:u w:val="none"/>
        </w:rPr>
        <w:t>第六条</w:t>
      </w:r>
      <w:r>
        <w:rPr>
          <w:rStyle w:val="9"/>
          <w:rFonts w:hint="eastAsia" w:ascii="黑体" w:hAnsi="黑体" w:eastAsia="黑体" w:cs="黑体"/>
          <w:b w:val="0"/>
          <w:bCs/>
          <w:color w:val="auto"/>
          <w:spacing w:val="0"/>
          <w:sz w:val="32"/>
          <w:szCs w:val="32"/>
          <w:u w:val="none"/>
          <w:lang w:val="en-US" w:eastAsia="zh-CN"/>
        </w:rPr>
        <w:t xml:space="preserve">  </w:t>
      </w:r>
      <w:r>
        <w:rPr>
          <w:rFonts w:hint="eastAsia" w:ascii="仿宋_GB2312" w:hAnsi="宋体" w:eastAsia="仿宋_GB2312" w:cs="仿宋_GB2312"/>
          <w:color w:val="000000"/>
          <w:kern w:val="0"/>
          <w:sz w:val="32"/>
          <w:szCs w:val="32"/>
          <w:lang w:val="en-US" w:eastAsia="zh-CN" w:bidi="ar"/>
        </w:rPr>
        <w:t>市政府是投资奖励资金的管理主体，负责督促、协调相关部门落实政策措施，审定本市资金管理实施细则，审核确定申报测算项目的新增实际固定资产投资额，审定支持项目的资金安排计划，指定市工业和信息化局牵头统筹投资奖励资金的组织实施等工作。市工业和信息化局可根据实际情况委托第三方机构评审遴选项目等工作。</w:t>
      </w:r>
      <w:r>
        <w:rPr>
          <w:rFonts w:hint="eastAsia" w:ascii="仿宋_GB2312" w:hAnsi="仿宋_GB2312" w:eastAsia="仿宋_GB2312" w:cs="仿宋_GB2312"/>
          <w:color w:val="333333"/>
          <w:spacing w:val="0"/>
          <w:sz w:val="32"/>
          <w:szCs w:val="32"/>
          <w:u w:val="none"/>
        </w:rPr>
        <w:br w:type="textWrapping"/>
      </w:r>
      <w:r>
        <w:rPr>
          <w:rFonts w:hint="eastAsia" w:ascii="仿宋_GB2312" w:hAnsi="仿宋_GB2312" w:eastAsia="仿宋_GB2312" w:cs="仿宋_GB2312"/>
          <w:color w:val="333333"/>
          <w:spacing w:val="0"/>
          <w:sz w:val="32"/>
          <w:szCs w:val="32"/>
          <w:u w:val="none"/>
          <w:lang w:val="en-US" w:eastAsia="zh-CN"/>
        </w:rPr>
        <w:t xml:space="preserve">    </w:t>
      </w:r>
      <w:r>
        <w:rPr>
          <w:rStyle w:val="9"/>
          <w:rFonts w:hint="eastAsia" w:ascii="黑体" w:hAnsi="黑体" w:eastAsia="黑体" w:cs="黑体"/>
          <w:b w:val="0"/>
          <w:bCs/>
          <w:color w:val="auto"/>
          <w:spacing w:val="0"/>
          <w:sz w:val="32"/>
          <w:szCs w:val="32"/>
          <w:u w:val="none"/>
        </w:rPr>
        <w:t>第七条</w:t>
      </w:r>
      <w:r>
        <w:rPr>
          <w:rStyle w:val="9"/>
          <w:rFonts w:hint="eastAsia" w:ascii="黑体" w:hAnsi="黑体" w:eastAsia="黑体" w:cs="黑体"/>
          <w:b w:val="0"/>
          <w:bCs/>
          <w:color w:val="auto"/>
          <w:spacing w:val="0"/>
          <w:sz w:val="32"/>
          <w:szCs w:val="32"/>
          <w:u w:val="none"/>
          <w:lang w:val="en-US" w:eastAsia="zh-CN"/>
        </w:rPr>
        <w:t xml:space="preserve">  </w:t>
      </w:r>
      <w:r>
        <w:rPr>
          <w:rFonts w:hint="eastAsia" w:ascii="仿宋_GB2312" w:hAnsi="宋体" w:eastAsia="仿宋_GB2312" w:cs="仿宋_GB2312"/>
          <w:color w:val="000000"/>
          <w:kern w:val="0"/>
          <w:sz w:val="32"/>
          <w:szCs w:val="32"/>
          <w:lang w:val="en-US" w:eastAsia="zh-CN" w:bidi="ar"/>
        </w:rPr>
        <w:t>市工业和信息化局是投资奖励资金的市级业务主管部门，负责做好投资奖励资金测算项目和支持项目的申报、评审、报市政府审定后上报等工作；编制投资奖励资金年度分配计划，按规定组织公示、下达和信息公开；制订全市投资奖励资金绩效目标，根据省指导意见修改完善绩效目标信息，做好监督检查、绩效评价等工作。</w:t>
      </w:r>
      <w:r>
        <w:rPr>
          <w:rFonts w:hint="eastAsia" w:ascii="仿宋_GB2312" w:hAnsi="仿宋_GB2312" w:eastAsia="仿宋_GB2312" w:cs="仿宋_GB2312"/>
          <w:color w:val="333333"/>
          <w:spacing w:val="0"/>
          <w:sz w:val="32"/>
          <w:szCs w:val="32"/>
          <w:u w:val="none"/>
        </w:rPr>
        <w:br w:type="textWrapping"/>
      </w:r>
      <w:r>
        <w:rPr>
          <w:rFonts w:hint="eastAsia" w:ascii="仿宋_GB2312" w:hAnsi="仿宋_GB2312" w:eastAsia="仿宋_GB2312" w:cs="仿宋_GB2312"/>
          <w:color w:val="333333"/>
          <w:spacing w:val="0"/>
          <w:sz w:val="32"/>
          <w:szCs w:val="32"/>
          <w:u w:val="none"/>
          <w:lang w:val="en-US" w:eastAsia="zh-CN"/>
        </w:rPr>
        <w:t xml:space="preserve">    </w:t>
      </w:r>
      <w:r>
        <w:rPr>
          <w:rStyle w:val="9"/>
          <w:rFonts w:hint="eastAsia" w:ascii="黑体" w:hAnsi="黑体" w:eastAsia="黑体" w:cs="黑体"/>
          <w:b w:val="0"/>
          <w:bCs/>
          <w:color w:val="auto"/>
          <w:spacing w:val="0"/>
          <w:sz w:val="32"/>
          <w:szCs w:val="32"/>
          <w:u w:val="none"/>
        </w:rPr>
        <w:t>第八条</w:t>
      </w:r>
      <w:r>
        <w:rPr>
          <w:rStyle w:val="9"/>
          <w:rFonts w:hint="eastAsia" w:ascii="黑体" w:hAnsi="黑体" w:eastAsia="黑体" w:cs="黑体"/>
          <w:b w:val="0"/>
          <w:bCs/>
          <w:color w:val="auto"/>
          <w:spacing w:val="0"/>
          <w:sz w:val="32"/>
          <w:szCs w:val="32"/>
          <w:u w:val="none"/>
          <w:lang w:val="en-US" w:eastAsia="zh-CN"/>
        </w:rPr>
        <w:t xml:space="preserve">  </w:t>
      </w:r>
      <w:r>
        <w:rPr>
          <w:rFonts w:hint="eastAsia" w:ascii="仿宋_GB2312" w:hAnsi="宋体" w:eastAsia="仿宋_GB2312" w:cs="仿宋_GB2312"/>
          <w:color w:val="000000"/>
          <w:kern w:val="0"/>
          <w:sz w:val="32"/>
          <w:szCs w:val="32"/>
          <w:lang w:val="en-US" w:eastAsia="zh-CN" w:bidi="ar"/>
        </w:rPr>
        <w:t>市财政局负责投资奖励资金预算管理，按规定办理资金下达和拨付，对预算执行进行监控。</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Style w:val="9"/>
          <w:rFonts w:hint="eastAsia" w:ascii="黑体" w:hAnsi="黑体" w:eastAsia="黑体" w:cs="黑体"/>
          <w:b w:val="0"/>
          <w:bCs/>
          <w:color w:val="auto"/>
          <w:spacing w:val="0"/>
          <w:sz w:val="32"/>
          <w:szCs w:val="32"/>
          <w:u w:val="none"/>
        </w:rPr>
        <w:t>第九条</w:t>
      </w:r>
      <w:r>
        <w:rPr>
          <w:rStyle w:val="9"/>
          <w:rFonts w:hint="eastAsia" w:ascii="黑体" w:hAnsi="黑体" w:eastAsia="黑体" w:cs="黑体"/>
          <w:b w:val="0"/>
          <w:bCs/>
          <w:color w:val="auto"/>
          <w:spacing w:val="0"/>
          <w:sz w:val="32"/>
          <w:szCs w:val="32"/>
          <w:u w:val="none"/>
          <w:lang w:val="en-US" w:eastAsia="zh-CN"/>
        </w:rPr>
        <w:t xml:space="preserve">  </w:t>
      </w:r>
      <w:r>
        <w:rPr>
          <w:rFonts w:hint="eastAsia" w:ascii="仿宋_GB2312" w:hAnsi="宋体" w:eastAsia="仿宋_GB2312" w:cs="仿宋_GB2312"/>
          <w:color w:val="000000"/>
          <w:kern w:val="0"/>
          <w:sz w:val="32"/>
          <w:szCs w:val="32"/>
          <w:lang w:val="en-US" w:eastAsia="zh-CN" w:bidi="ar"/>
        </w:rPr>
        <w:t>各县（市、区）人民政府（管委会）负责组织本辖区测算项目和支持项目的申报、初审及上报等工作，并对项目新增实际固定资产投资额的真实性和准确性负责；负责项目管理跟踪、资金拨付到企业及绩效自评等工作；配合做好审计、监督检查、绩效评价等工作。各县（市、区）人民政府（管委会）指定辖区业务主管部门牵头统筹投资奖励资金的组织实施等工作。</w:t>
      </w:r>
      <w:r>
        <w:rPr>
          <w:rFonts w:hint="eastAsia" w:ascii="仿宋_GB2312" w:hAnsi="仿宋_GB2312" w:eastAsia="仿宋_GB2312" w:cs="仿宋_GB2312"/>
          <w:color w:val="333333"/>
          <w:spacing w:val="0"/>
          <w:sz w:val="32"/>
          <w:szCs w:val="32"/>
          <w:u w:val="none"/>
        </w:rPr>
        <w:br w:type="textWrapping"/>
      </w:r>
      <w:r>
        <w:rPr>
          <w:rFonts w:hint="eastAsia" w:ascii="仿宋_GB2312" w:hAnsi="仿宋_GB2312" w:eastAsia="仿宋_GB2312" w:cs="仿宋_GB2312"/>
          <w:color w:val="333333"/>
          <w:spacing w:val="0"/>
          <w:sz w:val="32"/>
          <w:szCs w:val="32"/>
          <w:u w:val="none"/>
          <w:lang w:val="en-US" w:eastAsia="zh-CN"/>
        </w:rPr>
        <w:t xml:space="preserve">                </w:t>
      </w:r>
      <w:r>
        <w:rPr>
          <w:rStyle w:val="9"/>
          <w:rFonts w:hint="eastAsia" w:ascii="黑体" w:hAnsi="黑体" w:eastAsia="黑体" w:cs="黑体"/>
          <w:b w:val="0"/>
          <w:bCs/>
          <w:color w:val="auto"/>
          <w:spacing w:val="0"/>
          <w:sz w:val="32"/>
          <w:szCs w:val="32"/>
          <w:u w:val="none"/>
        </w:rPr>
        <w:t>第三章 奖励标准和支持范围</w:t>
      </w:r>
      <w:r>
        <w:rPr>
          <w:rFonts w:ascii="宋体" w:hAnsi="宋体" w:eastAsia="宋体" w:cs="宋体"/>
          <w:color w:val="333333"/>
          <w:spacing w:val="0"/>
          <w:sz w:val="25"/>
          <w:szCs w:val="25"/>
          <w:u w:val="none"/>
        </w:rPr>
        <w:br w:type="textWrapping"/>
      </w:r>
      <w:r>
        <w:rPr>
          <w:rFonts w:hint="eastAsia" w:ascii="宋体" w:hAnsi="宋体" w:eastAsia="宋体" w:cs="宋体"/>
          <w:color w:val="333333"/>
          <w:spacing w:val="0"/>
          <w:sz w:val="25"/>
          <w:szCs w:val="25"/>
          <w:u w:val="none"/>
          <w:lang w:val="en-US" w:eastAsia="zh-CN"/>
        </w:rPr>
        <w:t xml:space="preserve">      </w:t>
      </w:r>
      <w:r>
        <w:rPr>
          <w:rStyle w:val="9"/>
          <w:rFonts w:hint="eastAsia" w:ascii="黑体" w:hAnsi="黑体" w:eastAsia="黑体" w:cs="黑体"/>
          <w:b w:val="0"/>
          <w:bCs/>
          <w:color w:val="auto"/>
          <w:spacing w:val="0"/>
          <w:sz w:val="32"/>
          <w:szCs w:val="32"/>
          <w:u w:val="none"/>
        </w:rPr>
        <w:t>第十条</w:t>
      </w:r>
      <w:r>
        <w:rPr>
          <w:rStyle w:val="9"/>
          <w:rFonts w:hint="eastAsia" w:ascii="黑体" w:hAnsi="黑体" w:eastAsia="黑体" w:cs="黑体"/>
          <w:b w:val="0"/>
          <w:bCs/>
          <w:color w:val="auto"/>
          <w:spacing w:val="0"/>
          <w:sz w:val="32"/>
          <w:szCs w:val="32"/>
          <w:u w:val="none"/>
          <w:lang w:val="en-US" w:eastAsia="zh-CN"/>
        </w:rPr>
        <w:t xml:space="preserve">  </w:t>
      </w:r>
      <w:r>
        <w:rPr>
          <w:rFonts w:hint="eastAsia" w:ascii="仿宋_GB2312" w:hAnsi="宋体" w:eastAsia="仿宋_GB2312" w:cs="仿宋_GB2312"/>
          <w:color w:val="000000"/>
          <w:kern w:val="0"/>
          <w:sz w:val="32"/>
          <w:szCs w:val="32"/>
          <w:lang w:val="en-US" w:eastAsia="zh-CN" w:bidi="ar"/>
        </w:rPr>
        <w:t>测算项目和支持项目应具备以下条件：</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（一）项目实施地在汕尾市内，并已取得投资主管部门核准、审批和备案等立项文件。</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（二）项目自2021年1月1日至2025年12月31日期间内的新增实际完成固定资产投资额已经市政府审核确定。</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sz w:val="32"/>
          <w:szCs w:val="32"/>
        </w:rPr>
      </w:pPr>
      <w:r>
        <w:rPr>
          <w:rFonts w:ascii="仿宋_GB2312" w:hAnsi="宋体" w:eastAsia="仿宋_GB2312" w:cs="仿宋_GB2312"/>
          <w:color w:val="000000"/>
          <w:kern w:val="0"/>
          <w:sz w:val="32"/>
          <w:szCs w:val="32"/>
          <w:lang w:val="en-US" w:eastAsia="zh-CN" w:bidi="ar"/>
        </w:rPr>
        <w:t>（三）项目行业类型属国民经济行业分类（GB/T4754-2017）</w:t>
      </w:r>
      <w:r>
        <w:rPr>
          <w:rFonts w:hint="eastAsia" w:ascii="仿宋_GB2312" w:hAnsi="宋体" w:eastAsia="仿宋_GB2312" w:cs="仿宋_GB2312"/>
          <w:color w:val="000000"/>
          <w:kern w:val="0"/>
          <w:sz w:val="32"/>
          <w:szCs w:val="32"/>
          <w:lang w:val="en-US" w:eastAsia="zh-CN" w:bidi="ar"/>
        </w:rPr>
        <w:t>制造业行业。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（四）项目立项和“十四五”期间预计完成总投资须5亿元以上。按照投资项目核准和备案等有关要求，一个申报项目只能对应一个立项文件，不能以打包拼凑项目和立项文件的方式进行申报。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（五）项目未获得过省重大制造业项目投资奖励的支持。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（六）项目单位近3年内在质量、安全、环保等方面未发生重大事故，不属于失信执行人。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333333"/>
          <w:spacing w:val="0"/>
          <w:sz w:val="32"/>
          <w:szCs w:val="32"/>
          <w:u w:val="none"/>
        </w:rPr>
      </w:pPr>
      <w:r>
        <w:rPr>
          <w:rFonts w:hint="eastAsia" w:ascii="仿宋_GB2312" w:hAnsi="宋体" w:eastAsia="仿宋_GB2312" w:cs="仿宋_GB2312"/>
          <w:color w:val="000000"/>
          <w:kern w:val="0"/>
          <w:sz w:val="32"/>
          <w:szCs w:val="32"/>
          <w:lang w:val="en-US" w:eastAsia="zh-CN" w:bidi="ar"/>
        </w:rPr>
        <w:t>（七）申报通知或指南明确的其他条件。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黑体" w:hAnsi="黑体" w:eastAsia="黑体" w:cs="黑体"/>
          <w:color w:val="333333"/>
          <w:spacing w:val="0"/>
          <w:sz w:val="32"/>
          <w:szCs w:val="32"/>
          <w:u w:val="none"/>
        </w:rPr>
        <w:t>第十一条</w:t>
      </w:r>
      <w:r>
        <w:rPr>
          <w:rFonts w:hint="eastAsia" w:ascii="黑体" w:hAnsi="黑体" w:eastAsia="黑体" w:cs="黑体"/>
          <w:color w:val="333333"/>
          <w:spacing w:val="0"/>
          <w:sz w:val="32"/>
          <w:szCs w:val="32"/>
          <w:u w:val="none"/>
          <w:lang w:val="en-US" w:eastAsia="zh-CN"/>
        </w:rPr>
        <w:t xml:space="preserve">  </w:t>
      </w:r>
      <w:r>
        <w:rPr>
          <w:rFonts w:hint="eastAsia" w:ascii="仿宋_GB2312" w:hAnsi="宋体" w:eastAsia="仿宋_GB2312" w:cs="仿宋_GB2312"/>
          <w:color w:val="000000"/>
          <w:kern w:val="0"/>
          <w:sz w:val="32"/>
          <w:szCs w:val="32"/>
          <w:lang w:val="en-US" w:eastAsia="zh-CN" w:bidi="ar"/>
        </w:rPr>
        <w:t>奖励方式：对2021年1月1日至2025年12月31日期间总投资5亿元以上的制造业项目，依其在规定时限内完成并经市政府审核确定的新增实际固定资产投资额，予以事后奖励。</w:t>
      </w:r>
      <w:r>
        <w:rPr>
          <w:rFonts w:hint="eastAsia" w:ascii="仿宋_GB2312" w:hAnsi="宋体" w:eastAsia="仿宋_GB2312" w:cs="仿宋_GB2312"/>
          <w:color w:val="000000"/>
          <w:kern w:val="0"/>
          <w:sz w:val="32"/>
          <w:szCs w:val="32"/>
          <w:lang w:val="en-US" w:eastAsia="zh-CN" w:bidi="ar"/>
        </w:rPr>
        <w:br w:type="textWrapping"/>
      </w:r>
      <w:r>
        <w:rPr>
          <w:rFonts w:hint="eastAsia" w:ascii="仿宋_GB2312" w:hAnsi="仿宋_GB2312" w:eastAsia="仿宋_GB2312" w:cs="仿宋_GB2312"/>
          <w:color w:val="333333"/>
          <w:spacing w:val="0"/>
          <w:sz w:val="32"/>
          <w:szCs w:val="32"/>
          <w:u w:val="none"/>
          <w:lang w:val="en-US" w:eastAsia="zh-CN"/>
        </w:rPr>
        <w:t xml:space="preserve">    </w:t>
      </w:r>
      <w:r>
        <w:rPr>
          <w:rFonts w:hint="eastAsia" w:ascii="黑体" w:hAnsi="黑体" w:eastAsia="黑体" w:cs="黑体"/>
          <w:color w:val="333333"/>
          <w:spacing w:val="0"/>
          <w:sz w:val="32"/>
          <w:szCs w:val="32"/>
          <w:u w:val="none"/>
        </w:rPr>
        <w:t>第十二条</w:t>
      </w:r>
      <w:r>
        <w:rPr>
          <w:rFonts w:hint="eastAsia" w:ascii="黑体" w:hAnsi="黑体" w:eastAsia="黑体" w:cs="黑体"/>
          <w:color w:val="333333"/>
          <w:spacing w:val="0"/>
          <w:sz w:val="32"/>
          <w:szCs w:val="32"/>
          <w:u w:val="none"/>
          <w:lang w:val="en-US" w:eastAsia="zh-CN"/>
        </w:rPr>
        <w:t xml:space="preserve">  </w:t>
      </w:r>
      <w:r>
        <w:rPr>
          <w:rFonts w:hint="eastAsia" w:ascii="仿宋_GB2312" w:hAnsi="宋体" w:eastAsia="仿宋_GB2312" w:cs="仿宋_GB2312"/>
          <w:color w:val="000000"/>
          <w:kern w:val="0"/>
          <w:sz w:val="32"/>
          <w:szCs w:val="32"/>
          <w:lang w:val="en-US" w:eastAsia="zh-CN" w:bidi="ar"/>
        </w:rPr>
        <w:t>奖励标准：以项目新增实际固定资产投资额为基数,结合省安排的资金预算额度和项目数量等，研究确定奖励比例。实际固定资产投资额以已开具发票等合法票据并已付款金额为准，因固定资产投资形成的税款不计入奖励范围</w:t>
      </w:r>
      <w:r>
        <w:rPr>
          <w:rFonts w:hint="eastAsia" w:ascii="仿宋_GB2312" w:hAnsi="仿宋_GB2312" w:eastAsia="仿宋_GB2312" w:cs="仿宋_GB2312"/>
          <w:color w:val="333333"/>
          <w:spacing w:val="0"/>
          <w:sz w:val="32"/>
          <w:szCs w:val="32"/>
          <w:u w:val="none"/>
        </w:rPr>
        <w:t>。</w:t>
      </w:r>
      <w:r>
        <w:rPr>
          <w:rFonts w:hint="eastAsia" w:ascii="仿宋_GB2312" w:hAnsi="仿宋_GB2312" w:eastAsia="仿宋_GB2312" w:cs="仿宋_GB2312"/>
          <w:color w:val="333333"/>
          <w:spacing w:val="0"/>
          <w:sz w:val="32"/>
          <w:szCs w:val="32"/>
          <w:u w:val="none"/>
        </w:rPr>
        <w:br w:type="textWrapping"/>
      </w:r>
      <w:r>
        <w:rPr>
          <w:rFonts w:hint="eastAsia" w:ascii="仿宋_GB2312" w:hAnsi="仿宋_GB2312" w:eastAsia="仿宋_GB2312" w:cs="仿宋_GB2312"/>
          <w:color w:val="333333"/>
          <w:spacing w:val="0"/>
          <w:sz w:val="32"/>
          <w:szCs w:val="32"/>
          <w:u w:val="none"/>
          <w:lang w:val="en-US" w:eastAsia="zh-CN"/>
        </w:rPr>
        <w:t xml:space="preserve">    </w:t>
      </w:r>
      <w:r>
        <w:rPr>
          <w:rFonts w:hint="eastAsia" w:ascii="黑体" w:hAnsi="黑体" w:eastAsia="黑体" w:cs="黑体"/>
          <w:color w:val="333333"/>
          <w:spacing w:val="0"/>
          <w:sz w:val="32"/>
          <w:szCs w:val="32"/>
          <w:u w:val="none"/>
        </w:rPr>
        <w:t>第十三条</w:t>
      </w:r>
      <w:r>
        <w:rPr>
          <w:rFonts w:hint="eastAsia" w:ascii="黑体" w:hAnsi="黑体" w:eastAsia="黑体" w:cs="黑体"/>
          <w:color w:val="333333"/>
          <w:spacing w:val="0"/>
          <w:sz w:val="32"/>
          <w:szCs w:val="32"/>
          <w:u w:val="none"/>
          <w:lang w:val="en-US" w:eastAsia="zh-CN"/>
        </w:rPr>
        <w:t xml:space="preserve">  </w:t>
      </w:r>
      <w:r>
        <w:rPr>
          <w:rFonts w:hint="eastAsia" w:ascii="仿宋_GB2312" w:hAnsi="宋体" w:eastAsia="仿宋_GB2312" w:cs="仿宋_GB2312"/>
          <w:color w:val="000000"/>
          <w:kern w:val="0"/>
          <w:sz w:val="32"/>
          <w:szCs w:val="32"/>
          <w:lang w:val="en-US" w:eastAsia="zh-CN" w:bidi="ar"/>
        </w:rPr>
        <w:t>投资奖励资金支持范围：</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（一）省给予市政府的投资奖励资金除计提工作经费外，全额统筹用于支持我市制造业项目引进建设。</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（二）投资奖励资金主要支持范围：降低用地或生产运营成本、购置土地、增购设备、配套建设及产业园发展（商品厂房项目除外）等。</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（三）投资奖励资金不得用于已获得省级财政资金支持的固定资产投资。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（四）除中央和省委、省政府文件规定外，投资奖励资金一律不得用于行政事业单位编制内人员工资、津贴补贴、奖金和其他福利支出，楼堂馆所建设、修缮等。</w:t>
      </w:r>
      <w:r>
        <w:rPr>
          <w:rFonts w:hint="eastAsia" w:ascii="仿宋_GB2312" w:hAnsi="宋体" w:eastAsia="仿宋_GB2312" w:cs="仿宋_GB2312"/>
          <w:color w:val="000000"/>
          <w:kern w:val="0"/>
          <w:sz w:val="32"/>
          <w:szCs w:val="32"/>
          <w:lang w:val="en-US" w:eastAsia="zh-CN" w:bidi="ar"/>
        </w:rPr>
        <w:br w:type="textWrapping"/>
      </w:r>
      <w:r>
        <w:rPr>
          <w:rFonts w:hint="eastAsia" w:ascii="仿宋_GB2312" w:hAnsi="仿宋_GB2312" w:eastAsia="仿宋_GB2312" w:cs="仿宋_GB2312"/>
          <w:color w:val="333333"/>
          <w:spacing w:val="0"/>
          <w:sz w:val="32"/>
          <w:szCs w:val="32"/>
          <w:u w:val="none"/>
          <w:lang w:val="en-US" w:eastAsia="zh-CN"/>
        </w:rPr>
        <w:t xml:space="preserve">              </w:t>
      </w:r>
      <w:r>
        <w:rPr>
          <w:rStyle w:val="9"/>
          <w:rFonts w:hint="eastAsia" w:ascii="黑体" w:hAnsi="黑体" w:eastAsia="黑体" w:cs="黑体"/>
          <w:b w:val="0"/>
          <w:bCs/>
          <w:color w:val="auto"/>
          <w:spacing w:val="0"/>
          <w:sz w:val="32"/>
          <w:szCs w:val="32"/>
          <w:u w:val="none"/>
        </w:rPr>
        <w:t>第四章 资金预算编制及执行</w:t>
      </w:r>
      <w:r>
        <w:rPr>
          <w:rFonts w:ascii="宋体" w:hAnsi="宋体" w:eastAsia="宋体" w:cs="宋体"/>
          <w:color w:val="333333"/>
          <w:spacing w:val="0"/>
          <w:sz w:val="25"/>
          <w:szCs w:val="25"/>
          <w:u w:val="none"/>
        </w:rPr>
        <w:br w:type="textWrapping"/>
      </w:r>
      <w:r>
        <w:rPr>
          <w:rFonts w:hint="eastAsia" w:ascii="宋体" w:hAnsi="宋体" w:eastAsia="宋体" w:cs="宋体"/>
          <w:color w:val="333333"/>
          <w:spacing w:val="0"/>
          <w:sz w:val="25"/>
          <w:szCs w:val="25"/>
          <w:u w:val="none"/>
          <w:lang w:val="en-US" w:eastAsia="zh-CN"/>
        </w:rPr>
        <w:t xml:space="preserve">     </w:t>
      </w:r>
      <w:r>
        <w:rPr>
          <w:rFonts w:hint="eastAsia" w:ascii="黑体" w:hAnsi="黑体" w:eastAsia="黑体" w:cs="黑体"/>
          <w:color w:val="333333"/>
          <w:spacing w:val="0"/>
          <w:sz w:val="32"/>
          <w:szCs w:val="32"/>
          <w:u w:val="none"/>
        </w:rPr>
        <w:t>第十四条</w:t>
      </w:r>
      <w:r>
        <w:rPr>
          <w:rFonts w:hint="eastAsia" w:ascii="黑体" w:hAnsi="黑体" w:eastAsia="黑体" w:cs="黑体"/>
          <w:color w:val="333333"/>
          <w:spacing w:val="0"/>
          <w:sz w:val="32"/>
          <w:szCs w:val="32"/>
          <w:u w:val="none"/>
          <w:lang w:val="en-US" w:eastAsia="zh-CN"/>
        </w:rPr>
        <w:t xml:space="preserve">  </w:t>
      </w:r>
      <w:r>
        <w:rPr>
          <w:rFonts w:hint="eastAsia" w:ascii="仿宋_GB2312" w:hAnsi="宋体" w:eastAsia="仿宋_GB2312" w:cs="仿宋_GB2312"/>
          <w:color w:val="000000"/>
          <w:kern w:val="0"/>
          <w:sz w:val="32"/>
          <w:szCs w:val="32"/>
          <w:lang w:val="en-US" w:eastAsia="zh-CN" w:bidi="ar"/>
        </w:rPr>
        <w:t>投资奖励资金全面实行项目库管理，未纳入项目库的项目，原则上不安排预算</w:t>
      </w:r>
      <w:r>
        <w:rPr>
          <w:rFonts w:hint="eastAsia" w:ascii="仿宋_GB2312" w:hAnsi="仿宋_GB2312" w:eastAsia="仿宋_GB2312" w:cs="仿宋_GB2312"/>
          <w:color w:val="333333"/>
          <w:spacing w:val="0"/>
          <w:sz w:val="32"/>
          <w:szCs w:val="32"/>
          <w:u w:val="none"/>
        </w:rPr>
        <w:t>。</w:t>
      </w:r>
      <w:r>
        <w:rPr>
          <w:rFonts w:hint="eastAsia" w:ascii="仿宋_GB2312" w:hAnsi="仿宋_GB2312" w:eastAsia="仿宋_GB2312" w:cs="仿宋_GB2312"/>
          <w:color w:val="333333"/>
          <w:spacing w:val="0"/>
          <w:sz w:val="32"/>
          <w:szCs w:val="32"/>
          <w:u w:val="none"/>
        </w:rPr>
        <w:br w:type="textWrapping"/>
      </w:r>
      <w:r>
        <w:rPr>
          <w:rFonts w:hint="eastAsia" w:ascii="仿宋_GB2312" w:hAnsi="仿宋_GB2312" w:eastAsia="仿宋_GB2312" w:cs="仿宋_GB2312"/>
          <w:color w:val="333333"/>
          <w:spacing w:val="0"/>
          <w:sz w:val="32"/>
          <w:szCs w:val="32"/>
          <w:u w:val="none"/>
          <w:lang w:val="en-US" w:eastAsia="zh-CN"/>
        </w:rPr>
        <w:t xml:space="preserve">    </w:t>
      </w:r>
      <w:r>
        <w:rPr>
          <w:rFonts w:hint="eastAsia" w:ascii="黑体" w:hAnsi="黑体" w:eastAsia="黑体" w:cs="黑体"/>
          <w:color w:val="333333"/>
          <w:spacing w:val="0"/>
          <w:sz w:val="32"/>
          <w:szCs w:val="32"/>
          <w:u w:val="none"/>
        </w:rPr>
        <w:t>第十五条</w:t>
      </w:r>
      <w:r>
        <w:rPr>
          <w:rFonts w:hint="eastAsia" w:ascii="黑体" w:hAnsi="黑体" w:eastAsia="黑体" w:cs="黑体"/>
          <w:color w:val="333333"/>
          <w:spacing w:val="0"/>
          <w:sz w:val="32"/>
          <w:szCs w:val="32"/>
          <w:u w:val="none"/>
          <w:lang w:val="en-US" w:eastAsia="zh-CN"/>
        </w:rPr>
        <w:t xml:space="preserve">  </w:t>
      </w:r>
      <w:r>
        <w:rPr>
          <w:rFonts w:hint="eastAsia" w:ascii="仿宋_GB2312" w:hAnsi="宋体" w:eastAsia="仿宋_GB2312" w:cs="仿宋_GB2312"/>
          <w:color w:val="000000"/>
          <w:kern w:val="0"/>
          <w:sz w:val="32"/>
          <w:szCs w:val="32"/>
          <w:lang w:val="en-US" w:eastAsia="zh-CN" w:bidi="ar"/>
        </w:rPr>
        <w:t>市工业和信息化局每年7月底前发文通知</w:t>
      </w:r>
      <w:r>
        <w:rPr>
          <w:rFonts w:hint="eastAsia" w:ascii="仿宋_GB2312" w:hAnsi="仿宋_GB2312" w:eastAsia="仿宋_GB2312" w:cs="仿宋_GB2312"/>
          <w:color w:val="333333"/>
          <w:spacing w:val="0"/>
          <w:sz w:val="32"/>
          <w:szCs w:val="32"/>
          <w:u w:val="none"/>
        </w:rPr>
        <w:t>各</w:t>
      </w:r>
      <w:r>
        <w:rPr>
          <w:rFonts w:hint="eastAsia" w:ascii="仿宋_GB2312" w:hAnsi="宋体" w:eastAsia="仿宋_GB2312" w:cs="仿宋_GB2312"/>
          <w:color w:val="000000"/>
          <w:kern w:val="0"/>
          <w:sz w:val="32"/>
          <w:szCs w:val="32"/>
          <w:lang w:val="en-US" w:eastAsia="zh-CN" w:bidi="ar"/>
        </w:rPr>
        <w:t>县（市、区）工信业务主管部门组织开展投资奖励资金测算项目有关工作。各县（市、区）工信业务主管部门应及时按规定程序向市工业和信息化局报送投资奖励资金测算项目清单和绩效目标。未按规定时间要求上报的，将不安排预算。</w:t>
      </w:r>
      <w:r>
        <w:rPr>
          <w:rFonts w:hint="eastAsia" w:ascii="仿宋_GB2312" w:hAnsi="宋体" w:eastAsia="仿宋_GB2312" w:cs="仿宋_GB2312"/>
          <w:color w:val="000000"/>
          <w:kern w:val="0"/>
          <w:sz w:val="32"/>
          <w:szCs w:val="32"/>
          <w:lang w:val="en-US" w:eastAsia="zh-CN" w:bidi="ar"/>
        </w:rPr>
        <w:br w:type="textWrapping"/>
      </w:r>
      <w:r>
        <w:rPr>
          <w:rFonts w:hint="eastAsia" w:ascii="仿宋_GB2312" w:hAnsi="仿宋_GB2312" w:eastAsia="仿宋_GB2312" w:cs="仿宋_GB2312"/>
          <w:color w:val="333333"/>
          <w:spacing w:val="0"/>
          <w:sz w:val="32"/>
          <w:szCs w:val="32"/>
          <w:u w:val="none"/>
          <w:lang w:val="en-US" w:eastAsia="zh-CN"/>
        </w:rPr>
        <w:t xml:space="preserve">    </w:t>
      </w:r>
      <w:r>
        <w:rPr>
          <w:rFonts w:hint="eastAsia" w:ascii="黑体" w:hAnsi="黑体" w:eastAsia="黑体" w:cs="黑体"/>
          <w:color w:val="333333"/>
          <w:spacing w:val="0"/>
          <w:sz w:val="32"/>
          <w:szCs w:val="32"/>
          <w:u w:val="none"/>
        </w:rPr>
        <w:t>第十六条</w:t>
      </w:r>
      <w:r>
        <w:rPr>
          <w:rFonts w:hint="eastAsia" w:ascii="黑体" w:hAnsi="黑体" w:eastAsia="黑体" w:cs="黑体"/>
          <w:color w:val="333333"/>
          <w:spacing w:val="0"/>
          <w:sz w:val="32"/>
          <w:szCs w:val="32"/>
          <w:u w:val="none"/>
          <w:lang w:val="en-US" w:eastAsia="zh-CN"/>
        </w:rPr>
        <w:t xml:space="preserve">  </w:t>
      </w:r>
      <w:r>
        <w:rPr>
          <w:rFonts w:hint="eastAsia" w:ascii="仿宋_GB2312" w:hAnsi="宋体" w:eastAsia="仿宋_GB2312" w:cs="仿宋_GB2312"/>
          <w:color w:val="000000"/>
          <w:kern w:val="0"/>
          <w:sz w:val="32"/>
          <w:szCs w:val="32"/>
          <w:lang w:val="en-US" w:eastAsia="zh-CN" w:bidi="ar"/>
        </w:rPr>
        <w:t>市工业和信息化局按规定程序发文通知</w:t>
      </w:r>
      <w:r>
        <w:rPr>
          <w:rFonts w:hint="eastAsia" w:ascii="仿宋_GB2312" w:hAnsi="仿宋_GB2312" w:eastAsia="仿宋_GB2312" w:cs="仿宋_GB2312"/>
          <w:color w:val="333333"/>
          <w:spacing w:val="0"/>
          <w:sz w:val="32"/>
          <w:szCs w:val="32"/>
          <w:u w:val="none"/>
        </w:rPr>
        <w:t>各</w:t>
      </w:r>
      <w:r>
        <w:rPr>
          <w:rFonts w:hint="eastAsia" w:ascii="仿宋_GB2312" w:hAnsi="仿宋_GB2312" w:eastAsia="仿宋_GB2312" w:cs="仿宋_GB2312"/>
          <w:color w:val="333333"/>
          <w:spacing w:val="0"/>
          <w:sz w:val="32"/>
          <w:szCs w:val="32"/>
          <w:u w:val="none"/>
          <w:lang w:eastAsia="zh-CN"/>
        </w:rPr>
        <w:t>县（市、区）工信</w:t>
      </w:r>
      <w:r>
        <w:rPr>
          <w:rFonts w:hint="eastAsia" w:ascii="仿宋_GB2312" w:hAnsi="仿宋_GB2312" w:eastAsia="仿宋_GB2312" w:cs="仿宋_GB2312"/>
          <w:color w:val="333333"/>
          <w:spacing w:val="0"/>
          <w:sz w:val="32"/>
          <w:szCs w:val="32"/>
          <w:u w:val="none"/>
        </w:rPr>
        <w:t>业务主管部门</w:t>
      </w:r>
      <w:r>
        <w:rPr>
          <w:rFonts w:hint="eastAsia" w:ascii="仿宋_GB2312" w:hAnsi="宋体" w:eastAsia="仿宋_GB2312" w:cs="仿宋_GB2312"/>
          <w:color w:val="000000"/>
          <w:kern w:val="0"/>
          <w:sz w:val="32"/>
          <w:szCs w:val="32"/>
          <w:lang w:val="en-US" w:eastAsia="zh-CN" w:bidi="ar"/>
        </w:rPr>
        <w:t>组织开展投资奖励资金支持项目有关工作；市工业和信息化局在评审和遴选的基础上，根据省安排的资金预算额度，结合全市资金使用管理、监督检查、绩效评价等情况，编制全市投资奖励资金项目计划，按规定程序进行报批、公示后，在规定时限内下达。市工信局按市级资金支出管理的有关规定办理资金分配审批手续，并将最终方案报市财政局备案办理资金拨付手续。</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0" w:firstLineChars="0"/>
        <w:jc w:val="center"/>
        <w:textAlignment w:val="auto"/>
        <w:rPr>
          <w:rStyle w:val="9"/>
          <w:rFonts w:hint="eastAsia" w:ascii="黑体" w:hAnsi="黑体" w:eastAsia="黑体" w:cs="黑体"/>
          <w:b w:val="0"/>
          <w:bCs/>
          <w:color w:val="auto"/>
          <w:spacing w:val="0"/>
          <w:sz w:val="32"/>
          <w:szCs w:val="32"/>
          <w:u w:val="none"/>
        </w:rPr>
      </w:pPr>
      <w:r>
        <w:rPr>
          <w:rStyle w:val="9"/>
          <w:rFonts w:hint="eastAsia" w:ascii="黑体" w:hAnsi="黑体" w:eastAsia="黑体" w:cs="黑体"/>
          <w:b w:val="0"/>
          <w:bCs/>
          <w:color w:val="auto"/>
          <w:spacing w:val="0"/>
          <w:sz w:val="32"/>
          <w:szCs w:val="32"/>
          <w:u w:val="none"/>
        </w:rPr>
        <w:t>第五章 监督检查及绩效评价</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0" w:firstLineChars="0"/>
        <w:jc w:val="both"/>
        <w:textAlignment w:val="auto"/>
        <w:rPr>
          <w:rFonts w:hint="eastAsia" w:ascii="仿宋_GB2312" w:hAnsi="宋体" w:eastAsia="仿宋_GB2312" w:cs="仿宋_GB2312"/>
          <w:color w:val="000000"/>
          <w:kern w:val="0"/>
          <w:sz w:val="32"/>
          <w:szCs w:val="32"/>
          <w:lang w:val="en-US" w:eastAsia="zh-CN" w:bidi="ar"/>
        </w:rPr>
      </w:pPr>
      <w:r>
        <w:rPr>
          <w:rFonts w:hint="eastAsia" w:ascii="宋体" w:hAnsi="宋体" w:eastAsia="宋体" w:cs="宋体"/>
          <w:color w:val="333333"/>
          <w:spacing w:val="0"/>
          <w:sz w:val="25"/>
          <w:szCs w:val="25"/>
          <w:u w:val="none"/>
          <w:lang w:val="en-US" w:eastAsia="zh-CN"/>
        </w:rPr>
        <w:t xml:space="preserve">     </w:t>
      </w:r>
      <w:r>
        <w:rPr>
          <w:rFonts w:hint="eastAsia" w:ascii="黑体" w:hAnsi="黑体" w:eastAsia="黑体" w:cs="黑体"/>
          <w:color w:val="333333"/>
          <w:spacing w:val="0"/>
          <w:sz w:val="32"/>
          <w:szCs w:val="32"/>
          <w:u w:val="none"/>
        </w:rPr>
        <w:t>第十七条</w:t>
      </w:r>
      <w:r>
        <w:rPr>
          <w:rFonts w:hint="eastAsia" w:ascii="黑体" w:hAnsi="黑体" w:eastAsia="黑体" w:cs="黑体"/>
          <w:color w:val="333333"/>
          <w:spacing w:val="0"/>
          <w:sz w:val="32"/>
          <w:szCs w:val="32"/>
          <w:u w:val="none"/>
          <w:lang w:val="en-US" w:eastAsia="zh-CN"/>
        </w:rPr>
        <w:t xml:space="preserve">  </w:t>
      </w:r>
      <w:r>
        <w:rPr>
          <w:rFonts w:hint="eastAsia" w:ascii="仿宋_GB2312" w:hAnsi="宋体" w:eastAsia="仿宋_GB2312" w:cs="仿宋_GB2312"/>
          <w:color w:val="000000"/>
          <w:kern w:val="0"/>
          <w:sz w:val="32"/>
          <w:szCs w:val="32"/>
          <w:lang w:val="en-US" w:eastAsia="zh-CN" w:bidi="ar"/>
        </w:rPr>
        <w:t>投资奖励资金实行台帐管理，各县（市、区）工信业务主管部门于每年1月5日和7月5日前，将投资奖励资金项目台账（格式见附件）报送至市工业和信息化局。政策实施期满后根据测算项目的“十四五”期间投资完成情况进行清算，对未按规定完成投资的纳入台帐管理的支持项目，其所获取的投资奖励资金，市财政将按照省财政要求予以清算收回，具体清算办法按省规定执行。</w:t>
      </w:r>
      <w:r>
        <w:rPr>
          <w:rFonts w:hint="eastAsia" w:ascii="仿宋_GB2312" w:hAnsi="宋体" w:eastAsia="仿宋_GB2312" w:cs="仿宋_GB2312"/>
          <w:color w:val="000000"/>
          <w:kern w:val="0"/>
          <w:sz w:val="32"/>
          <w:szCs w:val="32"/>
          <w:lang w:val="en-US" w:eastAsia="zh-CN" w:bidi="ar"/>
        </w:rPr>
        <w:br w:type="textWrapping"/>
      </w:r>
      <w:r>
        <w:rPr>
          <w:rFonts w:hint="eastAsia" w:ascii="仿宋_GB2312" w:hAnsi="仿宋_GB2312" w:eastAsia="仿宋_GB2312" w:cs="仿宋_GB2312"/>
          <w:color w:val="333333"/>
          <w:spacing w:val="0"/>
          <w:sz w:val="32"/>
          <w:szCs w:val="32"/>
          <w:u w:val="none"/>
          <w:lang w:val="en-US" w:eastAsia="zh-CN"/>
        </w:rPr>
        <w:t xml:space="preserve">    </w:t>
      </w:r>
      <w:r>
        <w:rPr>
          <w:rFonts w:hint="eastAsia" w:ascii="黑体" w:hAnsi="黑体" w:eastAsia="黑体" w:cs="黑体"/>
          <w:color w:val="333333"/>
          <w:spacing w:val="0"/>
          <w:sz w:val="32"/>
          <w:szCs w:val="32"/>
          <w:u w:val="none"/>
        </w:rPr>
        <w:t>第十八条</w:t>
      </w:r>
      <w:r>
        <w:rPr>
          <w:rFonts w:hint="eastAsia" w:ascii="黑体" w:hAnsi="黑体" w:eastAsia="黑体" w:cs="黑体"/>
          <w:color w:val="333333"/>
          <w:spacing w:val="0"/>
          <w:sz w:val="32"/>
          <w:szCs w:val="32"/>
          <w:u w:val="none"/>
          <w:lang w:val="en-US" w:eastAsia="zh-CN"/>
        </w:rPr>
        <w:t xml:space="preserve">  </w:t>
      </w:r>
      <w:r>
        <w:rPr>
          <w:rFonts w:hint="eastAsia" w:ascii="仿宋_GB2312" w:hAnsi="宋体" w:eastAsia="仿宋_GB2312" w:cs="仿宋_GB2312"/>
          <w:color w:val="000000"/>
          <w:kern w:val="0"/>
          <w:sz w:val="32"/>
          <w:szCs w:val="32"/>
          <w:lang w:val="en-US" w:eastAsia="zh-CN" w:bidi="ar"/>
        </w:rPr>
        <w:t>除涉及保密要求或重大敏感事项不予公开的内容外，投资奖励资金分配、执行和结果等全过程信息按照“谁制定、谁分配、谁使用、谁公开”的原则予以公开。主要内容包括：</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outlineLvl w:val="1"/>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（一）投资奖励资金管理实施细则。</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outlineLvl w:val="1"/>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（二）投资奖励资金申报通知。</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outlineLvl w:val="1"/>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（三）投资奖励资金分配程序及结果。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outlineLvl w:val="1"/>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（四）投资奖励资金绩效评价和审计结果。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outlineLvl w:val="1"/>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（五）接受、处理投诉情况。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outlineLvl w:val="1"/>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（六）其他按规定应公开的内容。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黑体" w:hAnsi="黑体" w:eastAsia="黑体" w:cs="黑体"/>
          <w:color w:val="333333"/>
          <w:spacing w:val="0"/>
          <w:sz w:val="32"/>
          <w:szCs w:val="32"/>
          <w:u w:val="none"/>
        </w:rPr>
        <w:t>第十九条</w:t>
      </w:r>
      <w:r>
        <w:rPr>
          <w:rFonts w:hint="eastAsia" w:ascii="黑体" w:hAnsi="黑体" w:eastAsia="黑体" w:cs="黑体"/>
          <w:color w:val="333333"/>
          <w:spacing w:val="0"/>
          <w:sz w:val="32"/>
          <w:szCs w:val="32"/>
          <w:u w:val="none"/>
          <w:lang w:val="en-US" w:eastAsia="zh-CN"/>
        </w:rPr>
        <w:t xml:space="preserve">  </w:t>
      </w:r>
      <w:r>
        <w:rPr>
          <w:rFonts w:hint="eastAsia" w:ascii="仿宋_GB2312" w:hAnsi="宋体" w:eastAsia="仿宋_GB2312" w:cs="仿宋_GB2312"/>
          <w:color w:val="000000"/>
          <w:kern w:val="0"/>
          <w:sz w:val="32"/>
          <w:szCs w:val="32"/>
          <w:lang w:val="en-US" w:eastAsia="zh-CN" w:bidi="ar"/>
        </w:rPr>
        <w:t>各县（市、区）工信业务主管部门要切实加强对专项资金的使用管理，自觉接受人大、财政、审计、监察等部门的监督检查，并按要求完成绩效自评。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333333"/>
          <w:spacing w:val="0"/>
          <w:sz w:val="32"/>
          <w:szCs w:val="32"/>
          <w:u w:val="none"/>
        </w:rPr>
      </w:pPr>
      <w:r>
        <w:rPr>
          <w:rFonts w:hint="eastAsia" w:ascii="黑体" w:hAnsi="黑体" w:eastAsia="黑体" w:cs="黑体"/>
          <w:color w:val="333333"/>
          <w:spacing w:val="0"/>
          <w:sz w:val="32"/>
          <w:szCs w:val="32"/>
          <w:u w:val="none"/>
        </w:rPr>
        <w:t>第二十条</w:t>
      </w:r>
      <w:r>
        <w:rPr>
          <w:rFonts w:hint="eastAsia" w:ascii="黑体" w:hAnsi="黑体" w:eastAsia="黑体" w:cs="黑体"/>
          <w:color w:val="333333"/>
          <w:spacing w:val="0"/>
          <w:sz w:val="32"/>
          <w:szCs w:val="32"/>
          <w:u w:val="none"/>
          <w:lang w:val="en-US" w:eastAsia="zh-CN"/>
        </w:rPr>
        <w:t xml:space="preserve">  </w:t>
      </w:r>
      <w:r>
        <w:rPr>
          <w:rFonts w:hint="eastAsia" w:ascii="仿宋_GB2312" w:hAnsi="宋体" w:eastAsia="仿宋_GB2312" w:cs="仿宋_GB2312"/>
          <w:color w:val="000000"/>
          <w:kern w:val="0"/>
          <w:sz w:val="32"/>
          <w:szCs w:val="32"/>
          <w:lang w:val="en-US" w:eastAsia="zh-CN" w:bidi="ar"/>
        </w:rPr>
        <w:t>投资奖励资金管理实行责任追究机制。对专项资金使用管理过程中存在违规行为的单位、个人，按照《中华人民共和国预算法》和《财政违法行为处罚处分条例》（国务院令427号）等法律法规及相关规定进行严肃处理，涉及违法犯罪的，移送司法机关处理。</w:t>
      </w:r>
      <w:r>
        <w:rPr>
          <w:rFonts w:hint="eastAsia" w:ascii="仿宋_GB2312" w:hAnsi="宋体" w:eastAsia="仿宋_GB2312" w:cs="仿宋_GB2312"/>
          <w:color w:val="000000"/>
          <w:kern w:val="0"/>
          <w:sz w:val="32"/>
          <w:szCs w:val="32"/>
          <w:lang w:val="en-US" w:eastAsia="zh-CN" w:bidi="ar"/>
        </w:rPr>
        <w:br w:type="textWrapping"/>
      </w:r>
      <w:r>
        <w:rPr>
          <w:rFonts w:hint="eastAsia" w:ascii="仿宋_GB2312" w:hAnsi="仿宋_GB2312" w:eastAsia="仿宋_GB2312" w:cs="仿宋_GB2312"/>
          <w:color w:val="333333"/>
          <w:spacing w:val="0"/>
          <w:sz w:val="32"/>
          <w:szCs w:val="32"/>
          <w:u w:val="none"/>
          <w:lang w:val="en-US" w:eastAsia="zh-CN"/>
        </w:rPr>
        <w:t xml:space="preserve">                      </w:t>
      </w:r>
      <w:r>
        <w:rPr>
          <w:rStyle w:val="9"/>
          <w:rFonts w:hint="eastAsia" w:ascii="黑体" w:hAnsi="黑体" w:eastAsia="黑体" w:cs="黑体"/>
          <w:b w:val="0"/>
          <w:bCs/>
          <w:color w:val="auto"/>
          <w:spacing w:val="0"/>
          <w:sz w:val="32"/>
          <w:szCs w:val="32"/>
          <w:u w:val="none"/>
        </w:rPr>
        <w:t>第六章 附则</w:t>
      </w:r>
      <w:r>
        <w:rPr>
          <w:rFonts w:ascii="宋体" w:hAnsi="宋体" w:eastAsia="宋体" w:cs="宋体"/>
          <w:color w:val="333333"/>
          <w:spacing w:val="0"/>
          <w:sz w:val="25"/>
          <w:szCs w:val="25"/>
          <w:u w:val="none"/>
        </w:rPr>
        <w:br w:type="textWrapping"/>
      </w:r>
      <w:r>
        <w:rPr>
          <w:rFonts w:hint="eastAsia" w:ascii="宋体" w:hAnsi="宋体" w:eastAsia="宋体" w:cs="宋体"/>
          <w:color w:val="333333"/>
          <w:spacing w:val="0"/>
          <w:sz w:val="25"/>
          <w:szCs w:val="25"/>
          <w:u w:val="none"/>
          <w:lang w:val="en-US" w:eastAsia="zh-CN"/>
        </w:rPr>
        <w:t xml:space="preserve">     </w:t>
      </w:r>
      <w:r>
        <w:rPr>
          <w:rFonts w:hint="eastAsia" w:ascii="黑体" w:hAnsi="黑体" w:eastAsia="黑体" w:cs="黑体"/>
          <w:color w:val="333333"/>
          <w:spacing w:val="0"/>
          <w:sz w:val="32"/>
          <w:szCs w:val="32"/>
          <w:u w:val="none"/>
        </w:rPr>
        <w:t>第二十一条</w:t>
      </w:r>
      <w:r>
        <w:rPr>
          <w:rFonts w:hint="eastAsia" w:ascii="黑体" w:hAnsi="黑体" w:eastAsia="黑体" w:cs="黑体"/>
          <w:color w:val="333333"/>
          <w:spacing w:val="0"/>
          <w:sz w:val="32"/>
          <w:szCs w:val="32"/>
          <w:u w:val="none"/>
          <w:lang w:val="en-US" w:eastAsia="zh-CN"/>
        </w:rPr>
        <w:t xml:space="preserve">  </w:t>
      </w:r>
      <w:r>
        <w:rPr>
          <w:rFonts w:hint="eastAsia" w:ascii="仿宋_GB2312" w:hAnsi="宋体" w:eastAsia="仿宋_GB2312" w:cs="仿宋_GB2312"/>
          <w:color w:val="000000"/>
          <w:kern w:val="0"/>
          <w:sz w:val="32"/>
          <w:szCs w:val="32"/>
          <w:lang w:val="en-US" w:eastAsia="zh-CN" w:bidi="ar"/>
        </w:rPr>
        <w:t>本细则自发布之日起施行，有效期至2025年12月31日。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outlineLvl w:val="0"/>
        <w:rPr>
          <w:rFonts w:hint="eastAsia" w:ascii="仿宋_GB2312" w:hAnsi="宋体" w:eastAsia="仿宋_GB2312" w:cs="仿宋_GB2312"/>
          <w:color w:val="000000"/>
          <w:kern w:val="0"/>
          <w:sz w:val="32"/>
          <w:szCs w:val="32"/>
          <w:lang w:val="en-US" w:eastAsia="zh-CN" w:bidi="ar"/>
        </w:rPr>
      </w:pPr>
      <w:r>
        <w:rPr>
          <w:rFonts w:hint="eastAsia" w:ascii="黑体" w:hAnsi="黑体" w:eastAsia="黑体" w:cs="黑体"/>
          <w:color w:val="333333"/>
          <w:spacing w:val="0"/>
          <w:sz w:val="32"/>
          <w:szCs w:val="32"/>
          <w:u w:val="none"/>
        </w:rPr>
        <w:t>附件：</w:t>
      </w:r>
      <w:r>
        <w:rPr>
          <w:rFonts w:hint="eastAsia" w:ascii="仿宋_GB2312" w:hAnsi="宋体" w:eastAsia="仿宋_GB2312" w:cs="仿宋_GB2312"/>
          <w:color w:val="000000"/>
          <w:kern w:val="0"/>
          <w:sz w:val="32"/>
          <w:szCs w:val="32"/>
          <w:lang w:val="en-US" w:eastAsia="zh-CN" w:bidi="ar"/>
        </w:rPr>
        <w:t>普惠性制造业投资奖励资金项目台帐</w:t>
      </w:r>
    </w:p>
    <w:p>
      <w:pPr>
        <w:jc w:val="both"/>
        <w:rPr>
          <w:rFonts w:hint="eastAsia" w:ascii="仿宋_GB2312" w:hAnsi="宋体" w:eastAsia="仿宋_GB2312" w:cs="仿宋_GB2312"/>
          <w:color w:val="000000"/>
          <w:kern w:val="0"/>
          <w:sz w:val="32"/>
          <w:szCs w:val="32"/>
          <w:lang w:val="en-US" w:eastAsia="zh-CN" w:bidi="ar"/>
        </w:rPr>
      </w:pPr>
    </w:p>
    <w:p>
      <w:pPr>
        <w:pStyle w:val="2"/>
        <w:jc w:val="both"/>
        <w:rPr>
          <w:rFonts w:hint="eastAsia"/>
          <w:lang w:val="en-US" w:eastAsia="zh-CN"/>
        </w:rPr>
        <w:sectPr>
          <w:pgSz w:w="11906" w:h="16838"/>
          <w:pgMar w:top="2098" w:right="1474" w:bottom="1984" w:left="1587" w:header="851" w:footer="992" w:gutter="0"/>
          <w:cols w:space="425" w:num="1"/>
          <w:docGrid w:type="lines" w:linePitch="312" w:charSpace="0"/>
        </w:sectPr>
      </w:pPr>
    </w:p>
    <w:p>
      <w:pPr>
        <w:ind w:firstLine="320" w:firstLineChars="1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pStyle w:val="2"/>
        <w:jc w:val="center"/>
        <w:rPr>
          <w:rFonts w:hint="eastAsia"/>
          <w:lang w:val="en-US" w:eastAsia="zh-CN"/>
        </w:rPr>
      </w:pPr>
      <w:r>
        <w:rPr>
          <w:rFonts w:hint="eastAsia" w:ascii="仿宋_GB2312" w:hAnsi="宋体" w:eastAsia="仿宋_GB2312" w:cs="仿宋_GB2312"/>
          <w:color w:val="000000"/>
          <w:kern w:val="0"/>
          <w:sz w:val="32"/>
          <w:szCs w:val="32"/>
          <w:lang w:val="en-US" w:eastAsia="zh-CN" w:bidi="ar"/>
        </w:rPr>
        <w:t>普惠性制造业投资奖励资金项目台帐</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4"/>
        <w:gridCol w:w="583"/>
        <w:gridCol w:w="541"/>
        <w:gridCol w:w="590"/>
        <w:gridCol w:w="518"/>
        <w:gridCol w:w="599"/>
        <w:gridCol w:w="390"/>
        <w:gridCol w:w="566"/>
        <w:gridCol w:w="552"/>
        <w:gridCol w:w="552"/>
        <w:gridCol w:w="557"/>
        <w:gridCol w:w="557"/>
        <w:gridCol w:w="557"/>
        <w:gridCol w:w="568"/>
        <w:gridCol w:w="396"/>
        <w:gridCol w:w="401"/>
        <w:gridCol w:w="575"/>
        <w:gridCol w:w="561"/>
        <w:gridCol w:w="561"/>
        <w:gridCol w:w="561"/>
        <w:gridCol w:w="561"/>
        <w:gridCol w:w="561"/>
        <w:gridCol w:w="576"/>
        <w:gridCol w:w="500"/>
        <w:gridCol w:w="629"/>
        <w:gridCol w:w="5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1" w:hRule="atLeast"/>
        </w:trPr>
        <w:tc>
          <w:tcPr>
            <w:tcW w:w="1207" w:type="dxa"/>
            <w:gridSpan w:val="2"/>
            <w:tcBorders>
              <w:top w:val="nil"/>
              <w:left w:val="nil"/>
              <w:bottom w:val="nil"/>
              <w:right w:val="nil"/>
            </w:tcBorders>
            <w:shd w:val="clear" w:color="auto" w:fill="auto"/>
            <w:noWrap/>
            <w:vAlign w:val="center"/>
          </w:tcPr>
          <w:p>
            <w:pPr>
              <w:jc w:val="both"/>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填报日期：</w:t>
            </w:r>
          </w:p>
        </w:tc>
        <w:tc>
          <w:tcPr>
            <w:tcW w:w="541" w:type="dxa"/>
            <w:tcBorders>
              <w:top w:val="nil"/>
              <w:left w:val="nil"/>
              <w:bottom w:val="nil"/>
              <w:right w:val="nil"/>
            </w:tcBorders>
            <w:shd w:val="clear" w:color="auto" w:fill="auto"/>
            <w:noWrap/>
            <w:vAlign w:val="center"/>
          </w:tcPr>
          <w:p>
            <w:pPr>
              <w:jc w:val="both"/>
              <w:rPr>
                <w:rFonts w:hint="eastAsia" w:ascii="宋体" w:hAnsi="宋体" w:eastAsia="宋体" w:cs="宋体"/>
                <w:i w:val="0"/>
                <w:color w:val="000000"/>
                <w:sz w:val="16"/>
                <w:szCs w:val="16"/>
                <w:u w:val="none"/>
              </w:rPr>
            </w:pPr>
          </w:p>
        </w:tc>
        <w:tc>
          <w:tcPr>
            <w:tcW w:w="590" w:type="dxa"/>
            <w:tcBorders>
              <w:top w:val="nil"/>
              <w:left w:val="nil"/>
              <w:bottom w:val="nil"/>
              <w:right w:val="nil"/>
            </w:tcBorders>
            <w:shd w:val="clear" w:color="auto" w:fill="auto"/>
            <w:noWrap/>
            <w:vAlign w:val="center"/>
          </w:tcPr>
          <w:p>
            <w:pPr>
              <w:jc w:val="both"/>
              <w:rPr>
                <w:rFonts w:hint="eastAsia" w:ascii="宋体" w:hAnsi="宋体" w:eastAsia="宋体" w:cs="宋体"/>
                <w:i w:val="0"/>
                <w:color w:val="000000"/>
                <w:sz w:val="16"/>
                <w:szCs w:val="16"/>
                <w:u w:val="none"/>
              </w:rPr>
            </w:pPr>
          </w:p>
        </w:tc>
        <w:tc>
          <w:tcPr>
            <w:tcW w:w="518" w:type="dxa"/>
            <w:tcBorders>
              <w:top w:val="nil"/>
              <w:left w:val="nil"/>
              <w:bottom w:val="nil"/>
              <w:right w:val="nil"/>
            </w:tcBorders>
            <w:shd w:val="clear" w:color="auto" w:fill="auto"/>
            <w:noWrap/>
            <w:vAlign w:val="center"/>
          </w:tcPr>
          <w:p>
            <w:pPr>
              <w:jc w:val="both"/>
              <w:rPr>
                <w:rFonts w:hint="eastAsia" w:ascii="宋体" w:hAnsi="宋体" w:eastAsia="宋体" w:cs="宋体"/>
                <w:i w:val="0"/>
                <w:color w:val="000000"/>
                <w:sz w:val="16"/>
                <w:szCs w:val="16"/>
                <w:u w:val="none"/>
              </w:rPr>
            </w:pPr>
          </w:p>
        </w:tc>
        <w:tc>
          <w:tcPr>
            <w:tcW w:w="599" w:type="dxa"/>
            <w:tcBorders>
              <w:top w:val="nil"/>
              <w:left w:val="nil"/>
              <w:bottom w:val="nil"/>
              <w:right w:val="nil"/>
            </w:tcBorders>
            <w:shd w:val="clear" w:color="auto" w:fill="auto"/>
            <w:noWrap/>
            <w:vAlign w:val="center"/>
          </w:tcPr>
          <w:p>
            <w:pPr>
              <w:jc w:val="both"/>
              <w:rPr>
                <w:rFonts w:hint="eastAsia" w:ascii="宋体" w:hAnsi="宋体" w:eastAsia="宋体" w:cs="宋体"/>
                <w:i w:val="0"/>
                <w:color w:val="000000"/>
                <w:sz w:val="16"/>
                <w:szCs w:val="16"/>
                <w:u w:val="none"/>
              </w:rPr>
            </w:pPr>
          </w:p>
        </w:tc>
        <w:tc>
          <w:tcPr>
            <w:tcW w:w="390" w:type="dxa"/>
            <w:tcBorders>
              <w:top w:val="nil"/>
              <w:left w:val="nil"/>
              <w:bottom w:val="nil"/>
              <w:right w:val="nil"/>
            </w:tcBorders>
            <w:shd w:val="clear" w:color="auto" w:fill="auto"/>
            <w:noWrap/>
            <w:vAlign w:val="center"/>
          </w:tcPr>
          <w:p>
            <w:pPr>
              <w:jc w:val="both"/>
              <w:rPr>
                <w:rFonts w:hint="eastAsia" w:ascii="宋体" w:hAnsi="宋体" w:eastAsia="宋体" w:cs="宋体"/>
                <w:i w:val="0"/>
                <w:color w:val="000000"/>
                <w:sz w:val="16"/>
                <w:szCs w:val="16"/>
                <w:u w:val="none"/>
              </w:rPr>
            </w:pPr>
          </w:p>
        </w:tc>
        <w:tc>
          <w:tcPr>
            <w:tcW w:w="566" w:type="dxa"/>
            <w:tcBorders>
              <w:top w:val="nil"/>
              <w:left w:val="nil"/>
              <w:bottom w:val="nil"/>
              <w:right w:val="nil"/>
            </w:tcBorders>
            <w:shd w:val="clear" w:color="auto" w:fill="auto"/>
            <w:noWrap/>
            <w:vAlign w:val="center"/>
          </w:tcPr>
          <w:p>
            <w:pPr>
              <w:jc w:val="both"/>
              <w:rPr>
                <w:rFonts w:hint="eastAsia" w:ascii="宋体" w:hAnsi="宋体" w:eastAsia="宋体" w:cs="宋体"/>
                <w:i w:val="0"/>
                <w:color w:val="000000"/>
                <w:sz w:val="16"/>
                <w:szCs w:val="16"/>
                <w:u w:val="none"/>
              </w:rPr>
            </w:pPr>
          </w:p>
        </w:tc>
        <w:tc>
          <w:tcPr>
            <w:tcW w:w="552" w:type="dxa"/>
            <w:tcBorders>
              <w:top w:val="nil"/>
              <w:left w:val="nil"/>
              <w:bottom w:val="nil"/>
              <w:right w:val="nil"/>
            </w:tcBorders>
            <w:shd w:val="clear" w:color="auto" w:fill="auto"/>
            <w:noWrap/>
            <w:vAlign w:val="center"/>
          </w:tcPr>
          <w:p>
            <w:pPr>
              <w:jc w:val="both"/>
              <w:rPr>
                <w:rFonts w:hint="eastAsia" w:ascii="宋体" w:hAnsi="宋体" w:eastAsia="宋体" w:cs="宋体"/>
                <w:i w:val="0"/>
                <w:color w:val="000000"/>
                <w:sz w:val="16"/>
                <w:szCs w:val="16"/>
                <w:u w:val="none"/>
              </w:rPr>
            </w:pPr>
          </w:p>
        </w:tc>
        <w:tc>
          <w:tcPr>
            <w:tcW w:w="552" w:type="dxa"/>
            <w:tcBorders>
              <w:top w:val="nil"/>
              <w:left w:val="nil"/>
              <w:bottom w:val="nil"/>
              <w:right w:val="nil"/>
            </w:tcBorders>
            <w:shd w:val="clear" w:color="auto" w:fill="auto"/>
            <w:noWrap/>
            <w:vAlign w:val="center"/>
          </w:tcPr>
          <w:p>
            <w:pPr>
              <w:jc w:val="both"/>
              <w:rPr>
                <w:rFonts w:hint="eastAsia" w:ascii="宋体" w:hAnsi="宋体" w:eastAsia="宋体" w:cs="宋体"/>
                <w:i w:val="0"/>
                <w:color w:val="000000"/>
                <w:sz w:val="16"/>
                <w:szCs w:val="16"/>
                <w:u w:val="none"/>
              </w:rPr>
            </w:pPr>
          </w:p>
        </w:tc>
        <w:tc>
          <w:tcPr>
            <w:tcW w:w="557" w:type="dxa"/>
            <w:tcBorders>
              <w:top w:val="nil"/>
              <w:left w:val="nil"/>
              <w:bottom w:val="nil"/>
              <w:right w:val="nil"/>
            </w:tcBorders>
            <w:shd w:val="clear" w:color="auto" w:fill="auto"/>
            <w:noWrap/>
            <w:vAlign w:val="center"/>
          </w:tcPr>
          <w:p>
            <w:pPr>
              <w:jc w:val="both"/>
              <w:rPr>
                <w:rFonts w:hint="eastAsia" w:ascii="宋体" w:hAnsi="宋体" w:eastAsia="宋体" w:cs="宋体"/>
                <w:i w:val="0"/>
                <w:color w:val="000000"/>
                <w:sz w:val="16"/>
                <w:szCs w:val="16"/>
                <w:u w:val="none"/>
              </w:rPr>
            </w:pPr>
          </w:p>
        </w:tc>
        <w:tc>
          <w:tcPr>
            <w:tcW w:w="557" w:type="dxa"/>
            <w:tcBorders>
              <w:top w:val="nil"/>
              <w:left w:val="nil"/>
              <w:bottom w:val="nil"/>
              <w:right w:val="nil"/>
            </w:tcBorders>
            <w:shd w:val="clear" w:color="auto" w:fill="auto"/>
            <w:noWrap/>
            <w:vAlign w:val="center"/>
          </w:tcPr>
          <w:p>
            <w:pPr>
              <w:jc w:val="both"/>
              <w:rPr>
                <w:rFonts w:hint="eastAsia" w:ascii="宋体" w:hAnsi="宋体" w:eastAsia="宋体" w:cs="宋体"/>
                <w:i w:val="0"/>
                <w:color w:val="000000"/>
                <w:sz w:val="16"/>
                <w:szCs w:val="16"/>
                <w:u w:val="none"/>
              </w:rPr>
            </w:pPr>
          </w:p>
        </w:tc>
        <w:tc>
          <w:tcPr>
            <w:tcW w:w="557" w:type="dxa"/>
            <w:tcBorders>
              <w:top w:val="nil"/>
              <w:left w:val="nil"/>
              <w:bottom w:val="nil"/>
              <w:right w:val="nil"/>
            </w:tcBorders>
            <w:shd w:val="clear" w:color="auto" w:fill="auto"/>
            <w:noWrap/>
            <w:vAlign w:val="center"/>
          </w:tcPr>
          <w:p>
            <w:pPr>
              <w:jc w:val="both"/>
              <w:rPr>
                <w:rFonts w:hint="eastAsia" w:ascii="宋体" w:hAnsi="宋体" w:eastAsia="宋体" w:cs="宋体"/>
                <w:i w:val="0"/>
                <w:color w:val="000000"/>
                <w:sz w:val="16"/>
                <w:szCs w:val="16"/>
                <w:u w:val="none"/>
              </w:rPr>
            </w:pPr>
          </w:p>
        </w:tc>
        <w:tc>
          <w:tcPr>
            <w:tcW w:w="568" w:type="dxa"/>
            <w:tcBorders>
              <w:top w:val="nil"/>
              <w:left w:val="nil"/>
              <w:bottom w:val="nil"/>
              <w:right w:val="nil"/>
            </w:tcBorders>
            <w:shd w:val="clear" w:color="auto" w:fill="auto"/>
            <w:noWrap/>
            <w:vAlign w:val="center"/>
          </w:tcPr>
          <w:p>
            <w:pPr>
              <w:jc w:val="both"/>
              <w:rPr>
                <w:rFonts w:hint="eastAsia" w:ascii="宋体" w:hAnsi="宋体" w:eastAsia="宋体" w:cs="宋体"/>
                <w:i w:val="0"/>
                <w:color w:val="000000"/>
                <w:sz w:val="16"/>
                <w:szCs w:val="16"/>
                <w:u w:val="none"/>
              </w:rPr>
            </w:pPr>
          </w:p>
        </w:tc>
        <w:tc>
          <w:tcPr>
            <w:tcW w:w="396" w:type="dxa"/>
            <w:tcBorders>
              <w:top w:val="nil"/>
              <w:left w:val="nil"/>
              <w:bottom w:val="nil"/>
              <w:right w:val="nil"/>
            </w:tcBorders>
            <w:shd w:val="clear" w:color="auto" w:fill="auto"/>
            <w:noWrap/>
            <w:vAlign w:val="center"/>
          </w:tcPr>
          <w:p>
            <w:pPr>
              <w:jc w:val="both"/>
              <w:rPr>
                <w:rFonts w:hint="eastAsia" w:ascii="宋体" w:hAnsi="宋体" w:eastAsia="宋体" w:cs="宋体"/>
                <w:i w:val="0"/>
                <w:color w:val="000000"/>
                <w:sz w:val="16"/>
                <w:szCs w:val="16"/>
                <w:u w:val="none"/>
              </w:rPr>
            </w:pPr>
          </w:p>
        </w:tc>
        <w:tc>
          <w:tcPr>
            <w:tcW w:w="401" w:type="dxa"/>
            <w:tcBorders>
              <w:top w:val="nil"/>
              <w:left w:val="nil"/>
              <w:bottom w:val="nil"/>
              <w:right w:val="nil"/>
            </w:tcBorders>
            <w:shd w:val="clear" w:color="auto" w:fill="auto"/>
            <w:noWrap/>
            <w:vAlign w:val="center"/>
          </w:tcPr>
          <w:p>
            <w:pPr>
              <w:jc w:val="both"/>
              <w:rPr>
                <w:rFonts w:hint="eastAsia" w:ascii="宋体" w:hAnsi="宋体" w:eastAsia="宋体" w:cs="宋体"/>
                <w:i w:val="0"/>
                <w:color w:val="000000"/>
                <w:sz w:val="16"/>
                <w:szCs w:val="16"/>
                <w:u w:val="none"/>
              </w:rPr>
            </w:pPr>
          </w:p>
        </w:tc>
        <w:tc>
          <w:tcPr>
            <w:tcW w:w="575" w:type="dxa"/>
            <w:tcBorders>
              <w:top w:val="nil"/>
              <w:left w:val="nil"/>
              <w:bottom w:val="nil"/>
              <w:right w:val="nil"/>
            </w:tcBorders>
            <w:shd w:val="clear" w:color="auto" w:fill="auto"/>
            <w:noWrap/>
            <w:vAlign w:val="center"/>
          </w:tcPr>
          <w:p>
            <w:pPr>
              <w:jc w:val="both"/>
              <w:rPr>
                <w:rFonts w:hint="eastAsia" w:ascii="宋体" w:hAnsi="宋体" w:eastAsia="宋体" w:cs="宋体"/>
                <w:i w:val="0"/>
                <w:color w:val="000000"/>
                <w:sz w:val="16"/>
                <w:szCs w:val="16"/>
                <w:u w:val="none"/>
              </w:rPr>
            </w:pPr>
          </w:p>
        </w:tc>
        <w:tc>
          <w:tcPr>
            <w:tcW w:w="561" w:type="dxa"/>
            <w:tcBorders>
              <w:top w:val="nil"/>
              <w:left w:val="nil"/>
              <w:bottom w:val="nil"/>
              <w:right w:val="nil"/>
            </w:tcBorders>
            <w:shd w:val="clear" w:color="auto" w:fill="auto"/>
            <w:noWrap/>
            <w:vAlign w:val="center"/>
          </w:tcPr>
          <w:p>
            <w:pPr>
              <w:jc w:val="both"/>
              <w:rPr>
                <w:rFonts w:hint="eastAsia" w:ascii="宋体" w:hAnsi="宋体" w:eastAsia="宋体" w:cs="宋体"/>
                <w:i w:val="0"/>
                <w:color w:val="000000"/>
                <w:sz w:val="16"/>
                <w:szCs w:val="16"/>
                <w:u w:val="none"/>
              </w:rPr>
            </w:pPr>
          </w:p>
        </w:tc>
        <w:tc>
          <w:tcPr>
            <w:tcW w:w="561" w:type="dxa"/>
            <w:tcBorders>
              <w:top w:val="nil"/>
              <w:left w:val="nil"/>
              <w:bottom w:val="nil"/>
              <w:right w:val="nil"/>
            </w:tcBorders>
            <w:shd w:val="clear" w:color="auto" w:fill="auto"/>
            <w:noWrap/>
            <w:vAlign w:val="center"/>
          </w:tcPr>
          <w:p>
            <w:pPr>
              <w:jc w:val="both"/>
              <w:rPr>
                <w:rFonts w:hint="eastAsia" w:ascii="宋体" w:hAnsi="宋体" w:eastAsia="宋体" w:cs="宋体"/>
                <w:i w:val="0"/>
                <w:color w:val="000000"/>
                <w:sz w:val="16"/>
                <w:szCs w:val="16"/>
                <w:u w:val="none"/>
              </w:rPr>
            </w:pPr>
          </w:p>
        </w:tc>
        <w:tc>
          <w:tcPr>
            <w:tcW w:w="561" w:type="dxa"/>
            <w:tcBorders>
              <w:top w:val="nil"/>
              <w:left w:val="nil"/>
              <w:bottom w:val="nil"/>
              <w:right w:val="nil"/>
            </w:tcBorders>
            <w:shd w:val="clear" w:color="auto" w:fill="auto"/>
            <w:noWrap/>
            <w:vAlign w:val="center"/>
          </w:tcPr>
          <w:p>
            <w:pPr>
              <w:jc w:val="both"/>
              <w:rPr>
                <w:rFonts w:hint="eastAsia" w:ascii="宋体" w:hAnsi="宋体" w:eastAsia="宋体" w:cs="宋体"/>
                <w:i w:val="0"/>
                <w:color w:val="000000"/>
                <w:sz w:val="16"/>
                <w:szCs w:val="16"/>
                <w:u w:val="none"/>
              </w:rPr>
            </w:pPr>
          </w:p>
        </w:tc>
        <w:tc>
          <w:tcPr>
            <w:tcW w:w="561" w:type="dxa"/>
            <w:tcBorders>
              <w:top w:val="nil"/>
              <w:left w:val="nil"/>
              <w:bottom w:val="nil"/>
              <w:right w:val="nil"/>
            </w:tcBorders>
            <w:shd w:val="clear" w:color="auto" w:fill="auto"/>
            <w:noWrap/>
            <w:vAlign w:val="center"/>
          </w:tcPr>
          <w:p>
            <w:pPr>
              <w:jc w:val="both"/>
              <w:rPr>
                <w:rFonts w:hint="eastAsia" w:ascii="宋体" w:hAnsi="宋体" w:eastAsia="宋体" w:cs="宋体"/>
                <w:i w:val="0"/>
                <w:color w:val="000000"/>
                <w:sz w:val="16"/>
                <w:szCs w:val="16"/>
                <w:u w:val="none"/>
              </w:rPr>
            </w:pPr>
          </w:p>
        </w:tc>
        <w:tc>
          <w:tcPr>
            <w:tcW w:w="561" w:type="dxa"/>
            <w:tcBorders>
              <w:top w:val="nil"/>
              <w:left w:val="nil"/>
              <w:bottom w:val="nil"/>
              <w:right w:val="nil"/>
            </w:tcBorders>
            <w:shd w:val="clear" w:color="auto" w:fill="auto"/>
            <w:noWrap/>
            <w:vAlign w:val="center"/>
          </w:tcPr>
          <w:p>
            <w:pPr>
              <w:jc w:val="both"/>
              <w:rPr>
                <w:rFonts w:hint="eastAsia" w:ascii="宋体" w:hAnsi="宋体" w:eastAsia="宋体" w:cs="宋体"/>
                <w:i w:val="0"/>
                <w:color w:val="000000"/>
                <w:sz w:val="16"/>
                <w:szCs w:val="16"/>
                <w:u w:val="none"/>
              </w:rPr>
            </w:pPr>
          </w:p>
        </w:tc>
        <w:tc>
          <w:tcPr>
            <w:tcW w:w="576" w:type="dxa"/>
            <w:tcBorders>
              <w:top w:val="nil"/>
              <w:left w:val="nil"/>
              <w:bottom w:val="nil"/>
              <w:right w:val="nil"/>
            </w:tcBorders>
            <w:shd w:val="clear" w:color="auto" w:fill="auto"/>
            <w:noWrap/>
            <w:vAlign w:val="center"/>
          </w:tcPr>
          <w:p>
            <w:pPr>
              <w:jc w:val="both"/>
              <w:rPr>
                <w:rFonts w:hint="eastAsia" w:ascii="宋体" w:hAnsi="宋体" w:eastAsia="宋体" w:cs="宋体"/>
                <w:i w:val="0"/>
                <w:color w:val="000000"/>
                <w:sz w:val="16"/>
                <w:szCs w:val="16"/>
                <w:u w:val="none"/>
              </w:rPr>
            </w:pPr>
          </w:p>
        </w:tc>
        <w:tc>
          <w:tcPr>
            <w:tcW w:w="500" w:type="dxa"/>
            <w:tcBorders>
              <w:top w:val="nil"/>
              <w:left w:val="nil"/>
              <w:bottom w:val="nil"/>
              <w:right w:val="nil"/>
            </w:tcBorders>
            <w:shd w:val="clear" w:color="auto" w:fill="auto"/>
            <w:noWrap/>
            <w:vAlign w:val="center"/>
          </w:tcPr>
          <w:p>
            <w:pPr>
              <w:jc w:val="both"/>
              <w:rPr>
                <w:rFonts w:hint="eastAsia" w:ascii="宋体" w:hAnsi="宋体" w:eastAsia="宋体" w:cs="宋体"/>
                <w:i w:val="0"/>
                <w:color w:val="000000"/>
                <w:sz w:val="16"/>
                <w:szCs w:val="16"/>
                <w:u w:val="none"/>
              </w:rPr>
            </w:pPr>
          </w:p>
        </w:tc>
        <w:tc>
          <w:tcPr>
            <w:tcW w:w="629" w:type="dxa"/>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单位：</w:t>
            </w:r>
          </w:p>
        </w:tc>
        <w:tc>
          <w:tcPr>
            <w:tcW w:w="536" w:type="dxa"/>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lang w:val="en-US" w:eastAsia="zh-CN" w:bidi="ar"/>
              </w:rPr>
              <w:t>序号</w:t>
            </w: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lang w:val="en-US" w:eastAsia="zh-CN" w:bidi="ar"/>
              </w:rPr>
              <w:t>县（市、区）</w:t>
            </w: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lang w:val="en-US" w:eastAsia="zh-CN" w:bidi="ar"/>
              </w:rPr>
              <w:t>项目名称</w:t>
            </w:r>
          </w:p>
        </w:tc>
        <w:tc>
          <w:tcPr>
            <w:tcW w:w="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lang w:val="en-US" w:eastAsia="zh-CN" w:bidi="ar"/>
              </w:rPr>
              <w:t>实施项目的企业名称</w:t>
            </w:r>
          </w:p>
        </w:tc>
        <w:tc>
          <w:tcPr>
            <w:tcW w:w="5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lang w:val="en-US" w:eastAsia="zh-CN" w:bidi="ar"/>
              </w:rPr>
              <w:t>项目立项时间</w:t>
            </w:r>
          </w:p>
        </w:tc>
        <w:tc>
          <w:tcPr>
            <w:tcW w:w="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lang w:val="en-US" w:eastAsia="zh-CN" w:bidi="ar"/>
              </w:rPr>
              <w:t>项目建设状态</w:t>
            </w:r>
            <w:r>
              <w:rPr>
                <w:rStyle w:val="14"/>
                <w:sz w:val="16"/>
                <w:szCs w:val="16"/>
                <w:lang w:val="en-US" w:eastAsia="zh-CN" w:bidi="ar"/>
              </w:rPr>
              <w:t>（尚未开工、在建、完成）</w:t>
            </w:r>
          </w:p>
        </w:tc>
        <w:tc>
          <w:tcPr>
            <w:tcW w:w="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lang w:val="en-US" w:eastAsia="zh-CN" w:bidi="ar"/>
              </w:rPr>
              <w:t>立项总投资金额</w:t>
            </w:r>
          </w:p>
        </w:tc>
        <w:tc>
          <w:tcPr>
            <w:tcW w:w="4706"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lang w:val="en-US" w:eastAsia="zh-CN" w:bidi="ar"/>
              </w:rPr>
              <w:t>项目总投资情况</w:t>
            </w:r>
          </w:p>
        </w:tc>
        <w:tc>
          <w:tcPr>
            <w:tcW w:w="4456"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lang w:val="en-US" w:eastAsia="zh-CN" w:bidi="ar"/>
              </w:rPr>
              <w:t>项目固定投资情况</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楷体" w:hAnsi="楷体" w:eastAsia="楷体" w:cs="楷体"/>
                <w:b/>
                <w:i w:val="0"/>
                <w:color w:val="000000"/>
                <w:sz w:val="16"/>
                <w:szCs w:val="16"/>
                <w:u w:val="none"/>
              </w:rPr>
            </w:pPr>
          </w:p>
        </w:tc>
        <w:tc>
          <w:tcPr>
            <w:tcW w:w="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9"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楷体" w:hAnsi="楷体" w:eastAsia="楷体" w:cs="楷体"/>
                <w:b/>
                <w:i w:val="0"/>
                <w:color w:val="000000"/>
                <w:sz w:val="16"/>
                <w:szCs w:val="16"/>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楷体" w:hAnsi="楷体" w:eastAsia="楷体" w:cs="楷体"/>
                <w:b/>
                <w:i w:val="0"/>
                <w:color w:val="000000"/>
                <w:sz w:val="16"/>
                <w:szCs w:val="16"/>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楷体" w:hAnsi="楷体" w:eastAsia="楷体" w:cs="楷体"/>
                <w:b/>
                <w:i w:val="0"/>
                <w:color w:val="000000"/>
                <w:sz w:val="16"/>
                <w:szCs w:val="16"/>
                <w:u w:val="none"/>
              </w:rPr>
            </w:pPr>
          </w:p>
        </w:tc>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楷体" w:hAnsi="楷体" w:eastAsia="楷体" w:cs="楷体"/>
                <w:b/>
                <w:i w:val="0"/>
                <w:color w:val="000000"/>
                <w:sz w:val="16"/>
                <w:szCs w:val="16"/>
                <w:u w:val="none"/>
              </w:rPr>
            </w:pPr>
          </w:p>
        </w:tc>
        <w:tc>
          <w:tcPr>
            <w:tcW w:w="5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楷体" w:hAnsi="楷体" w:eastAsia="楷体" w:cs="楷体"/>
                <w:b/>
                <w:i w:val="0"/>
                <w:color w:val="000000"/>
                <w:sz w:val="16"/>
                <w:szCs w:val="16"/>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楷体" w:hAnsi="楷体" w:eastAsia="楷体" w:cs="楷体"/>
                <w:b/>
                <w:i w:val="0"/>
                <w:color w:val="000000"/>
                <w:sz w:val="16"/>
                <w:szCs w:val="16"/>
                <w:u w:val="none"/>
              </w:rPr>
            </w:pPr>
          </w:p>
        </w:tc>
        <w:tc>
          <w:tcPr>
            <w:tcW w:w="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楷体" w:hAnsi="楷体" w:eastAsia="楷体" w:cs="楷体"/>
                <w:b/>
                <w:i w:val="0"/>
                <w:color w:val="000000"/>
                <w:sz w:val="16"/>
                <w:szCs w:val="16"/>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lang w:val="en-US" w:eastAsia="zh-CN" w:bidi="ar"/>
              </w:rPr>
              <w:t>项目立项至2020年底项目投资额</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lang w:val="en-US" w:eastAsia="zh-CN" w:bidi="ar"/>
              </w:rPr>
              <w:t>2021年项目投资额</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lang w:val="en-US" w:eastAsia="zh-CN" w:bidi="ar"/>
              </w:rPr>
              <w:t>2022年项目投资额</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lang w:val="en-US" w:eastAsia="zh-CN" w:bidi="ar"/>
              </w:rPr>
              <w:t>2023年项目预计投资额</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lang w:val="en-US" w:eastAsia="zh-CN" w:bidi="ar"/>
              </w:rPr>
              <w:t>2024年项目预计投资额</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lang w:val="en-US" w:eastAsia="zh-CN" w:bidi="ar"/>
              </w:rPr>
              <w:t>2025年项目预计投资额</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lang w:val="en-US" w:eastAsia="zh-CN" w:bidi="ar"/>
              </w:rPr>
              <w:t>2026年及以后年度项目预计投资额</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lang w:val="en-US" w:eastAsia="zh-CN" w:bidi="ar"/>
              </w:rPr>
              <w:t>本年度已完成的投资额</w:t>
            </w: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lang w:val="en-US" w:eastAsia="zh-CN" w:bidi="ar"/>
              </w:rPr>
              <w:t>本年度剩余月份预计投资额</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lang w:val="en-US" w:eastAsia="zh-CN" w:bidi="ar"/>
              </w:rPr>
              <w:t>项目立项至2020年底项目固定资产投资额</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lang w:val="en-US" w:eastAsia="zh-CN" w:bidi="ar"/>
              </w:rPr>
              <w:t>2021年项目固定资产投资额</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lang w:val="en-US" w:eastAsia="zh-CN" w:bidi="ar"/>
              </w:rPr>
              <w:t>2022年项目固定资产投资额</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lang w:val="en-US" w:eastAsia="zh-CN" w:bidi="ar"/>
              </w:rPr>
              <w:t>2023年项目固定资产投资额</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lang w:val="en-US" w:eastAsia="zh-CN" w:bidi="ar"/>
              </w:rPr>
              <w:t>2024年项目固定资产投资额</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lang w:val="en-US" w:eastAsia="zh-CN" w:bidi="ar"/>
              </w:rPr>
              <w:t>2025年项目固定资产投资额</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lang w:val="en-US" w:eastAsia="zh-CN" w:bidi="ar"/>
              </w:rPr>
              <w:t>2026年及以后年度项目预计固定资产投资额</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lang w:val="en-US" w:eastAsia="zh-CN" w:bidi="ar"/>
              </w:rPr>
              <w:t>本年度已完成的固定资产投资额</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lang w:val="en-US" w:eastAsia="zh-CN" w:bidi="ar"/>
              </w:rPr>
              <w:t>本年度剩余月份预计固定资产投资额</w:t>
            </w: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楷体" w:hAnsi="楷体" w:eastAsia="楷体" w:cs="楷体"/>
                <w:b/>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16"/>
                <w:szCs w:val="16"/>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16"/>
                <w:szCs w:val="16"/>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16"/>
                <w:szCs w:val="16"/>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16"/>
                <w:szCs w:val="16"/>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16"/>
                <w:szCs w:val="16"/>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16"/>
                <w:szCs w:val="16"/>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16"/>
                <w:szCs w:val="16"/>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16"/>
                <w:szCs w:val="16"/>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16"/>
                <w:szCs w:val="16"/>
                <w:u w:val="none"/>
              </w:rPr>
            </w:pPr>
          </w:p>
        </w:tc>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16"/>
                <w:szCs w:val="16"/>
                <w:u w:val="none"/>
              </w:rPr>
            </w:pPr>
          </w:p>
        </w:tc>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16"/>
                <w:szCs w:val="16"/>
                <w:u w:val="none"/>
              </w:rPr>
            </w:pPr>
          </w:p>
        </w:tc>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16"/>
                <w:szCs w:val="16"/>
                <w:u w:val="none"/>
              </w:rPr>
            </w:pPr>
          </w:p>
        </w:tc>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16"/>
                <w:szCs w:val="16"/>
                <w:u w:val="none"/>
              </w:rPr>
            </w:pPr>
          </w:p>
        </w:tc>
        <w:tc>
          <w:tcPr>
            <w:tcW w:w="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16"/>
                <w:szCs w:val="16"/>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16"/>
                <w:szCs w:val="16"/>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16"/>
                <w:szCs w:val="16"/>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16"/>
                <w:szCs w:val="16"/>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16"/>
                <w:szCs w:val="16"/>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16"/>
                <w:szCs w:val="16"/>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16"/>
                <w:szCs w:val="16"/>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16"/>
                <w:szCs w:val="16"/>
                <w:u w:val="none"/>
              </w:rPr>
            </w:pP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16"/>
                <w:szCs w:val="16"/>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16"/>
                <w:szCs w:val="16"/>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16"/>
                <w:szCs w:val="16"/>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16"/>
                <w:szCs w:val="16"/>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16"/>
                <w:szCs w:val="16"/>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16"/>
                <w:szCs w:val="16"/>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16"/>
                <w:szCs w:val="16"/>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16"/>
                <w:szCs w:val="16"/>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16"/>
                <w:szCs w:val="16"/>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16"/>
                <w:szCs w:val="16"/>
                <w:u w:val="none"/>
              </w:rPr>
            </w:pPr>
          </w:p>
        </w:tc>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16"/>
                <w:szCs w:val="16"/>
                <w:u w:val="none"/>
              </w:rPr>
            </w:pPr>
          </w:p>
        </w:tc>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16"/>
                <w:szCs w:val="16"/>
                <w:u w:val="none"/>
              </w:rPr>
            </w:pPr>
          </w:p>
        </w:tc>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16"/>
                <w:szCs w:val="16"/>
                <w:u w:val="none"/>
              </w:rPr>
            </w:pPr>
          </w:p>
        </w:tc>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16"/>
                <w:szCs w:val="16"/>
                <w:u w:val="none"/>
              </w:rPr>
            </w:pPr>
          </w:p>
        </w:tc>
        <w:tc>
          <w:tcPr>
            <w:tcW w:w="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16"/>
                <w:szCs w:val="16"/>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16"/>
                <w:szCs w:val="16"/>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16"/>
                <w:szCs w:val="16"/>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16"/>
                <w:szCs w:val="16"/>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16"/>
                <w:szCs w:val="16"/>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16"/>
                <w:szCs w:val="16"/>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16"/>
                <w:szCs w:val="16"/>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16"/>
                <w:szCs w:val="16"/>
                <w:u w:val="none"/>
              </w:rPr>
            </w:pP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16"/>
                <w:szCs w:val="16"/>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16"/>
                <w:szCs w:val="16"/>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16"/>
                <w:szCs w:val="16"/>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16"/>
                <w:szCs w:val="16"/>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16"/>
                <w:szCs w:val="16"/>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16"/>
                <w:szCs w:val="16"/>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16"/>
                <w:szCs w:val="16"/>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16"/>
                <w:szCs w:val="16"/>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16"/>
                <w:szCs w:val="16"/>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16"/>
                <w:szCs w:val="16"/>
                <w:u w:val="none"/>
              </w:rPr>
            </w:pPr>
          </w:p>
        </w:tc>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16"/>
                <w:szCs w:val="16"/>
                <w:u w:val="none"/>
              </w:rPr>
            </w:pPr>
          </w:p>
        </w:tc>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16"/>
                <w:szCs w:val="16"/>
                <w:u w:val="none"/>
              </w:rPr>
            </w:pPr>
          </w:p>
        </w:tc>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16"/>
                <w:szCs w:val="16"/>
                <w:u w:val="none"/>
              </w:rPr>
            </w:pPr>
          </w:p>
        </w:tc>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16"/>
                <w:szCs w:val="16"/>
                <w:u w:val="none"/>
              </w:rPr>
            </w:pPr>
          </w:p>
        </w:tc>
        <w:tc>
          <w:tcPr>
            <w:tcW w:w="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16"/>
                <w:szCs w:val="16"/>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16"/>
                <w:szCs w:val="16"/>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16"/>
                <w:szCs w:val="16"/>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16"/>
                <w:szCs w:val="16"/>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16"/>
                <w:szCs w:val="16"/>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16"/>
                <w:szCs w:val="16"/>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16"/>
                <w:szCs w:val="16"/>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16"/>
                <w:szCs w:val="16"/>
                <w:u w:val="none"/>
              </w:rPr>
            </w:pP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16"/>
                <w:szCs w:val="16"/>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16"/>
                <w:szCs w:val="16"/>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16"/>
                <w:szCs w:val="16"/>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16"/>
                <w:szCs w:val="16"/>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16"/>
                <w:szCs w:val="16"/>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16"/>
                <w:szCs w:val="16"/>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16"/>
                <w:szCs w:val="16"/>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16"/>
                <w:szCs w:val="16"/>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16"/>
                <w:szCs w:val="16"/>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16"/>
                <w:szCs w:val="16"/>
                <w:u w:val="none"/>
              </w:rPr>
            </w:pPr>
          </w:p>
        </w:tc>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16"/>
                <w:szCs w:val="16"/>
                <w:u w:val="none"/>
              </w:rPr>
            </w:pPr>
          </w:p>
        </w:tc>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16"/>
                <w:szCs w:val="16"/>
                <w:u w:val="none"/>
              </w:rPr>
            </w:pPr>
          </w:p>
        </w:tc>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16"/>
                <w:szCs w:val="16"/>
                <w:u w:val="none"/>
              </w:rPr>
            </w:pPr>
          </w:p>
        </w:tc>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16"/>
                <w:szCs w:val="16"/>
                <w:u w:val="none"/>
              </w:rPr>
            </w:pPr>
          </w:p>
        </w:tc>
        <w:tc>
          <w:tcPr>
            <w:tcW w:w="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16"/>
                <w:szCs w:val="16"/>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16"/>
                <w:szCs w:val="16"/>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16"/>
                <w:szCs w:val="16"/>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16"/>
                <w:szCs w:val="16"/>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16"/>
                <w:szCs w:val="16"/>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16"/>
                <w:szCs w:val="16"/>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16"/>
                <w:szCs w:val="16"/>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16"/>
                <w:szCs w:val="16"/>
                <w:u w:val="none"/>
              </w:rPr>
            </w:pP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16"/>
                <w:szCs w:val="16"/>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16"/>
                <w:szCs w:val="16"/>
                <w:u w:val="none"/>
              </w:rPr>
            </w:pPr>
          </w:p>
        </w:tc>
      </w:tr>
    </w:tbl>
    <w:p>
      <w:pPr>
        <w:pStyle w:val="2"/>
        <w:jc w:val="both"/>
        <w:rPr>
          <w:rFonts w:hint="eastAsia"/>
          <w:lang w:val="en-US" w:eastAsia="zh-CN"/>
        </w:rPr>
      </w:pPr>
    </w:p>
    <w:p>
      <w:pPr>
        <w:keepNext w:val="0"/>
        <w:keepLines w:val="0"/>
        <w:pageBreakBefore w:val="0"/>
        <w:widowControl w:val="0"/>
        <w:kinsoku/>
        <w:wordWrap w:val="0"/>
        <w:overflowPunct/>
        <w:topLinePunct w:val="0"/>
        <w:autoSpaceDE/>
        <w:autoSpaceDN/>
        <w:bidi w:val="0"/>
        <w:adjustRightInd/>
        <w:snapToGrid/>
        <w:spacing w:line="580" w:lineRule="exact"/>
        <w:ind w:right="0"/>
        <w:jc w:val="both"/>
        <w:textAlignment w:val="auto"/>
        <w:rPr>
          <w:rFonts w:ascii="仿宋_GB2312" w:eastAsia="仿宋_GB2312"/>
          <w:w w:val="95"/>
          <w:sz w:val="32"/>
          <w:szCs w:val="32"/>
        </w:rPr>
      </w:pPr>
    </w:p>
    <w:sectPr>
      <w:pgSz w:w="16838" w:h="11906" w:orient="landscape"/>
      <w:pgMar w:top="1587" w:right="2098" w:bottom="1474" w:left="198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auto"/>
    <w:pitch w:val="default"/>
    <w:sig w:usb0="00000000" w:usb1="0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showBreaksInFrames/>
    <w:suppressSpBfAfterPgBrk/>
    <w:footnoteLayoutLikeWW8/>
    <w:forgetLastTabAlignment/>
    <w:adjustLineHeightInTable/>
    <w:noSpaceRaiseLower/>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commondata" w:val="eyJoZGlkIjoiMDYxM2EwYmFmYmJiMGMzOTQwMWE1M2Q1MjU2NTg5ZmUifQ=="/>
  </w:docVars>
  <w:rsids>
    <w:rsidRoot w:val="000A10E2"/>
    <w:rsid w:val="00085E94"/>
    <w:rsid w:val="000A10E2"/>
    <w:rsid w:val="00107994"/>
    <w:rsid w:val="00163513"/>
    <w:rsid w:val="001F2805"/>
    <w:rsid w:val="001F2FA0"/>
    <w:rsid w:val="00202BD4"/>
    <w:rsid w:val="00296262"/>
    <w:rsid w:val="003A441C"/>
    <w:rsid w:val="004134DE"/>
    <w:rsid w:val="004F6B76"/>
    <w:rsid w:val="00522785"/>
    <w:rsid w:val="005F35FA"/>
    <w:rsid w:val="00725AB7"/>
    <w:rsid w:val="008B3432"/>
    <w:rsid w:val="00912EFA"/>
    <w:rsid w:val="0093023C"/>
    <w:rsid w:val="009C41D2"/>
    <w:rsid w:val="00A033EA"/>
    <w:rsid w:val="00A25507"/>
    <w:rsid w:val="00A354ED"/>
    <w:rsid w:val="00AE120B"/>
    <w:rsid w:val="00AE6047"/>
    <w:rsid w:val="00B20608"/>
    <w:rsid w:val="00BF53CF"/>
    <w:rsid w:val="00C61294"/>
    <w:rsid w:val="00D34B40"/>
    <w:rsid w:val="00D4387A"/>
    <w:rsid w:val="00D531B8"/>
    <w:rsid w:val="00DA5843"/>
    <w:rsid w:val="00DD1246"/>
    <w:rsid w:val="00E30C2D"/>
    <w:rsid w:val="00EE5660"/>
    <w:rsid w:val="00F53C59"/>
    <w:rsid w:val="00FB7C79"/>
    <w:rsid w:val="00FD2A3F"/>
    <w:rsid w:val="0925281F"/>
    <w:rsid w:val="18A5571B"/>
    <w:rsid w:val="1F7D21EA"/>
    <w:rsid w:val="230C5CE8"/>
    <w:rsid w:val="2BEB41BA"/>
    <w:rsid w:val="2D2236F9"/>
    <w:rsid w:val="2E457FCA"/>
    <w:rsid w:val="36042CFE"/>
    <w:rsid w:val="36881C15"/>
    <w:rsid w:val="36F93610"/>
    <w:rsid w:val="3CF66A4C"/>
    <w:rsid w:val="3E112822"/>
    <w:rsid w:val="437212B6"/>
    <w:rsid w:val="46CFCDBB"/>
    <w:rsid w:val="470A1A2D"/>
    <w:rsid w:val="484423A9"/>
    <w:rsid w:val="49393D6B"/>
    <w:rsid w:val="4BB07E2F"/>
    <w:rsid w:val="4F5E7A53"/>
    <w:rsid w:val="4FE66290"/>
    <w:rsid w:val="5CE24472"/>
    <w:rsid w:val="5EDD13A0"/>
    <w:rsid w:val="6A250863"/>
    <w:rsid w:val="6DFFFB0D"/>
    <w:rsid w:val="717958C4"/>
    <w:rsid w:val="717B0BCB"/>
    <w:rsid w:val="722B6A77"/>
    <w:rsid w:val="777E6726"/>
    <w:rsid w:val="78636D45"/>
    <w:rsid w:val="7B6D42D0"/>
    <w:rsid w:val="7CDA2BC4"/>
    <w:rsid w:val="7D572075"/>
    <w:rsid w:val="7DEF01F8"/>
    <w:rsid w:val="7FFFC7E6"/>
    <w:rsid w:val="7FFFEC49"/>
    <w:rsid w:val="87FFBB90"/>
    <w:rsid w:val="8CF7E2A0"/>
    <w:rsid w:val="A83F6806"/>
    <w:rsid w:val="AFDB9874"/>
    <w:rsid w:val="BA72EC96"/>
    <w:rsid w:val="BFFB4065"/>
    <w:rsid w:val="DAFB7A79"/>
    <w:rsid w:val="DBF7F4D8"/>
    <w:rsid w:val="E5E67BF3"/>
    <w:rsid w:val="EFCF5C9E"/>
    <w:rsid w:val="EFF3492C"/>
    <w:rsid w:val="FA7D47FA"/>
    <w:rsid w:val="FB8DC93E"/>
    <w:rsid w:val="FEFCA768"/>
    <w:rsid w:val="FFD104F4"/>
    <w:rsid w:val="FFF320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6"/>
    <w:basedOn w:val="1"/>
    <w:next w:val="1"/>
    <w:unhideWhenUsed/>
    <w:qFormat/>
    <w:uiPriority w:val="9"/>
    <w:pPr>
      <w:keepNext/>
      <w:keepLines/>
      <w:spacing w:before="240" w:beforeLines="0" w:after="64" w:afterLines="0" w:line="317" w:lineRule="auto"/>
      <w:outlineLvl w:val="5"/>
    </w:pPr>
    <w:rPr>
      <w:rFonts w:ascii="Arial" w:hAnsi="Arial" w:eastAsia="黑体" w:cs="Times New Roman"/>
      <w:b/>
      <w:bCs/>
      <w:sz w:val="24"/>
      <w:szCs w:val="2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3"/>
    <w:semiHidden/>
    <w:unhideWhenUsed/>
    <w:qFormat/>
    <w:uiPriority w:val="99"/>
    <w:pPr>
      <w:ind w:left="100" w:leftChars="2500"/>
    </w:p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rPr>
  </w:style>
  <w:style w:type="paragraph" w:customStyle="1" w:styleId="10">
    <w:name w:val="Heading6"/>
    <w:basedOn w:val="1"/>
    <w:next w:val="1"/>
    <w:qFormat/>
    <w:uiPriority w:val="0"/>
    <w:pPr>
      <w:keepNext/>
      <w:keepLines/>
      <w:spacing w:before="240" w:after="64" w:line="317" w:lineRule="auto"/>
      <w:textAlignment w:val="baseline"/>
    </w:pPr>
    <w:rPr>
      <w:rFonts w:ascii="Arial" w:hAnsi="Arial" w:eastAsia="黑体" w:cs="Times New Roman"/>
      <w:b/>
      <w:bCs/>
      <w:sz w:val="24"/>
    </w:r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 w:type="character" w:customStyle="1" w:styleId="13">
    <w:name w:val="日期 Char"/>
    <w:basedOn w:val="8"/>
    <w:link w:val="3"/>
    <w:semiHidden/>
    <w:qFormat/>
    <w:uiPriority w:val="99"/>
  </w:style>
  <w:style w:type="character" w:customStyle="1" w:styleId="14">
    <w:name w:val="font01"/>
    <w:basedOn w:val="8"/>
    <w:qFormat/>
    <w:uiPriority w:val="0"/>
    <w:rPr>
      <w:rFonts w:hint="eastAsia" w:ascii="楷体" w:hAnsi="楷体" w:eastAsia="楷体" w:cs="楷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479</Words>
  <Characters>529</Characters>
  <Lines>3</Lines>
  <Paragraphs>1</Paragraphs>
  <TotalTime>8</TotalTime>
  <ScaleCrop>false</ScaleCrop>
  <LinksUpToDate>false</LinksUpToDate>
  <CharactersWithSpaces>586</CharactersWithSpaces>
  <Application>WPS Office_11.8.2.10554_F1E327BC-269C-435d-A152-05C5408002CA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2020-05-24T08:33:00Z</dcterms:created>
  <dc:creator>4DFH5643</dc:creator>
  <cp:lastModifiedBy>林楚越</cp:lastModifiedBy>
  <cp:lastPrinted>2022-05-08T08:53:00Z</cp:lastPrinted>
  <dcterms:modified xsi:type="dcterms:W3CDTF">2023-12-21T16:05:09Z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2052-11.8.2.10554</vt:lpwstr>
  </property>
  <property fmtid="{D5CDD505-2E9C-101B-9397-08002B2CF9AE}" pid="3" name="ICV">
    <vt:lpwstr>C78CA4E1FEBF413F9CA68C01204036AF_13</vt:lpwstr>
  </property>
</Properties>
</file>