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FC1E" w14:textId="77777777" w:rsidR="00B94D6C" w:rsidRDefault="00A76C7F">
      <w:pPr>
        <w:spacing w:line="600" w:lineRule="exact"/>
        <w:rPr>
          <w:rFonts w:ascii="仿宋_GB2312" w:eastAsia="仿宋_GB2312" w:hAnsi="仿宋_GB2312" w:cs="仿宋_GB2312" w:hint="eastAsia"/>
          <w:sz w:val="32"/>
          <w:szCs w:val="32"/>
        </w:rPr>
      </w:pPr>
      <w:r>
        <w:rPr>
          <w:rFonts w:ascii="黑体" w:eastAsia="黑体" w:hAnsi="黑体" w:cs="黑体" w:hint="eastAsia"/>
          <w:sz w:val="32"/>
          <w:szCs w:val="32"/>
        </w:rPr>
        <w:t>附件3</w:t>
      </w:r>
      <w:r>
        <w:rPr>
          <w:rFonts w:ascii="仿宋_GB2312" w:eastAsia="仿宋_GB2312" w:hAnsi="仿宋_GB2312" w:cs="仿宋_GB2312" w:hint="eastAsia"/>
          <w:sz w:val="32"/>
          <w:szCs w:val="32"/>
        </w:rPr>
        <w:t xml:space="preserve"> </w:t>
      </w:r>
    </w:p>
    <w:p w14:paraId="1F58F839" w14:textId="77777777" w:rsidR="00B94D6C" w:rsidRDefault="00B94D6C">
      <w:pPr>
        <w:spacing w:line="600" w:lineRule="exact"/>
        <w:jc w:val="center"/>
        <w:rPr>
          <w:rFonts w:ascii="方正小标宋简体" w:eastAsia="方正小标宋简体" w:hAnsi="方正小标宋简体" w:cs="方正小标宋简体" w:hint="eastAsia"/>
          <w:sz w:val="44"/>
          <w:szCs w:val="44"/>
        </w:rPr>
      </w:pPr>
    </w:p>
    <w:p w14:paraId="333756B5" w14:textId="77777777" w:rsidR="00B94D6C" w:rsidRDefault="00A76C7F">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不合格项目说明</w:t>
      </w:r>
    </w:p>
    <w:p w14:paraId="6D0639D7" w14:textId="77777777" w:rsidR="00B94D6C" w:rsidRDefault="00B94D6C">
      <w:pPr>
        <w:spacing w:line="600" w:lineRule="exact"/>
        <w:ind w:firstLineChars="200" w:firstLine="640"/>
        <w:rPr>
          <w:rFonts w:ascii="黑体" w:eastAsia="黑体" w:hAnsi="黑体" w:cs="黑体" w:hint="eastAsia"/>
          <w:sz w:val="32"/>
          <w:szCs w:val="32"/>
        </w:rPr>
      </w:pPr>
    </w:p>
    <w:p w14:paraId="22E5D003" w14:textId="10BE3439" w:rsidR="00B94D6C" w:rsidRDefault="00A76C7F">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w:t>
      </w:r>
      <w:r w:rsidR="00A66012">
        <w:rPr>
          <w:rFonts w:ascii="黑体" w:eastAsia="黑体" w:hAnsi="黑体" w:cs="黑体" w:hint="eastAsia"/>
          <w:sz w:val="32"/>
          <w:szCs w:val="32"/>
        </w:rPr>
        <w:t>污染物</w:t>
      </w:r>
      <w:r w:rsidR="00F87F07" w:rsidRPr="00F87F07">
        <w:rPr>
          <w:rFonts w:ascii="黑体" w:eastAsia="黑体" w:hAnsi="黑体" w:cs="黑体" w:hint="eastAsia"/>
          <w:sz w:val="32"/>
          <w:szCs w:val="32"/>
        </w:rPr>
        <w:t>超标</w:t>
      </w:r>
    </w:p>
    <w:p w14:paraId="7A3F23F6" w14:textId="7583C4B6" w:rsidR="00361B0D" w:rsidRDefault="00A76C7F">
      <w:pPr>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w:t>
      </w:r>
      <w:r w:rsidR="00A66012">
        <w:rPr>
          <w:rFonts w:ascii="仿宋_GB2312" w:eastAsia="仿宋_GB2312" w:hAnsi="仿宋_GB2312" w:cs="仿宋_GB2312" w:hint="eastAsia"/>
          <w:b/>
          <w:bCs/>
          <w:sz w:val="32"/>
          <w:szCs w:val="32"/>
        </w:rPr>
        <w:t>铅</w:t>
      </w:r>
    </w:p>
    <w:p w14:paraId="76CE9484" w14:textId="57410644" w:rsidR="00C2317B" w:rsidRDefault="00A66012" w:rsidP="00A66012">
      <w:pPr>
        <w:spacing w:line="600" w:lineRule="exact"/>
        <w:ind w:firstLineChars="200" w:firstLine="640"/>
        <w:rPr>
          <w:rFonts w:ascii="仿宋_GB2312" w:eastAsia="仿宋_GB2312" w:hAnsi="仿宋_GB2312" w:cs="仿宋_GB2312"/>
          <w:sz w:val="32"/>
          <w:szCs w:val="32"/>
        </w:rPr>
      </w:pPr>
      <w:r w:rsidRPr="00A66012">
        <w:rPr>
          <w:rFonts w:ascii="仿宋_GB2312" w:eastAsia="仿宋_GB2312" w:hAnsi="仿宋_GB2312" w:cs="仿宋_GB2312" w:hint="eastAsia"/>
          <w:sz w:val="32"/>
          <w:szCs w:val="32"/>
        </w:rPr>
        <w:t>铅是常见的重金属污染物之一。铅对人体具有慢性蓄积性的危害，长期摄入铅超标的食品，可能对人体神经系统、造血系统、心血管系统和泌尿系统造成损害。《食品安全国家标准 食品中污染物限量》（GB 2762-2022）中规定，铅在生姜中的最大限量值为0.2 mg/kg。生姜中铅（以Pb计）超标的原因可能是种植过程中富集环境中的铅元素。</w:t>
      </w:r>
    </w:p>
    <w:p w14:paraId="6C5A388F" w14:textId="43F632B9" w:rsidR="00A66012" w:rsidRDefault="00A66012" w:rsidP="00A66012">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w:t>
      </w:r>
      <w:r>
        <w:rPr>
          <w:rFonts w:ascii="黑体" w:eastAsia="黑体" w:hAnsi="黑体" w:cs="黑体" w:hint="eastAsia"/>
          <w:sz w:val="32"/>
          <w:szCs w:val="32"/>
        </w:rPr>
        <w:t>、</w:t>
      </w:r>
      <w:r>
        <w:rPr>
          <w:rFonts w:ascii="黑体" w:eastAsia="黑体" w:hAnsi="黑体" w:cs="黑体" w:hint="eastAsia"/>
          <w:sz w:val="32"/>
          <w:szCs w:val="32"/>
        </w:rPr>
        <w:t>添加剂</w:t>
      </w:r>
      <w:r w:rsidRPr="00F87F07">
        <w:rPr>
          <w:rFonts w:ascii="黑体" w:eastAsia="黑体" w:hAnsi="黑体" w:cs="黑体" w:hint="eastAsia"/>
          <w:sz w:val="32"/>
          <w:szCs w:val="32"/>
        </w:rPr>
        <w:t>超标</w:t>
      </w:r>
    </w:p>
    <w:p w14:paraId="5C38BC09" w14:textId="6CAFBD33" w:rsidR="00A66012" w:rsidRDefault="00A66012" w:rsidP="00A66012">
      <w:pPr>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二氧化硫</w:t>
      </w:r>
    </w:p>
    <w:p w14:paraId="112D6ACB" w14:textId="77777777" w:rsidR="00A66012" w:rsidRDefault="00A66012" w:rsidP="00A66012">
      <w:pPr>
        <w:pStyle w:val="2"/>
        <w:ind w:leftChars="0" w:left="0" w:firstLine="640"/>
        <w:rPr>
          <w:rFonts w:ascii="仿宋_GB2312" w:eastAsia="仿宋_GB2312" w:hAnsi="仿宋_GB2312" w:cs="仿宋_GB2312"/>
          <w:sz w:val="32"/>
          <w:szCs w:val="32"/>
        </w:rPr>
      </w:pPr>
      <w:r w:rsidRPr="00A66012">
        <w:rPr>
          <w:rFonts w:ascii="仿宋_GB2312" w:eastAsia="仿宋_GB2312" w:hAnsi="仿宋_GB2312" w:cs="仿宋_GB2312" w:hint="eastAsia"/>
          <w:sz w:val="32"/>
          <w:szCs w:val="32"/>
        </w:rPr>
        <w:t>二氧化硫是国内外允许使用的一种食品添加剂，通常情况下该物质以焦亚硫酸钾、焦亚硫酸钠、亚硫酸钠、亚硫酸氢钠、低亚硫酸钠等亚硫酸盐的形式添加于食品中，或采用硫磺熏蒸的方式用于食品处理，发挥护色、防腐、漂白和抗氧化的作用。比如在水果、蔬菜干制，蜜饯、凉果生产，白砂糖加工及鲜食用菌和藻类在贮藏和加工过程中可以防止氧化褐变或微生物污染。利用二氧化硫气体熏蒸果蔬原料，可抑制原料中氧化酶的活性，使制品色泽明亮美观。在白砂糖加工中，二氧化硫能与有色物质结合达到漂白的效果。少</w:t>
      </w:r>
      <w:r w:rsidRPr="00A66012">
        <w:rPr>
          <w:rFonts w:ascii="仿宋_GB2312" w:eastAsia="仿宋_GB2312" w:hAnsi="仿宋_GB2312" w:cs="仿宋_GB2312" w:hint="eastAsia"/>
          <w:sz w:val="32"/>
          <w:szCs w:val="32"/>
        </w:rPr>
        <w:lastRenderedPageBreak/>
        <w:t>量二氧化硫进入体内后最终生成硫酸盐，可通过正常解毒后由尿液排出体外，不会产生毒性作用。但如果人体过量摄入二氧化硫，则容易产生过敏，可能会引发呼吸困难、腹泻、呕吐等症状，对</w:t>
      </w:r>
      <w:proofErr w:type="gramStart"/>
      <w:r w:rsidRPr="00A66012">
        <w:rPr>
          <w:rFonts w:ascii="仿宋_GB2312" w:eastAsia="仿宋_GB2312" w:hAnsi="仿宋_GB2312" w:cs="仿宋_GB2312" w:hint="eastAsia"/>
          <w:sz w:val="32"/>
          <w:szCs w:val="32"/>
        </w:rPr>
        <w:t>脑及其</w:t>
      </w:r>
      <w:proofErr w:type="gramEnd"/>
      <w:r w:rsidRPr="00A66012">
        <w:rPr>
          <w:rFonts w:ascii="仿宋_GB2312" w:eastAsia="仿宋_GB2312" w:hAnsi="仿宋_GB2312" w:cs="仿宋_GB2312" w:hint="eastAsia"/>
          <w:sz w:val="32"/>
          <w:szCs w:val="32"/>
        </w:rPr>
        <w:t>它组织也可能产生不同程度损伤。</w:t>
      </w:r>
    </w:p>
    <w:p w14:paraId="5F8E4F17" w14:textId="6C36E649" w:rsidR="00A66012" w:rsidRPr="00A66012" w:rsidRDefault="00A66012" w:rsidP="00A66012">
      <w:pPr>
        <w:pStyle w:val="2"/>
        <w:ind w:leftChars="0" w:left="0" w:firstLine="640"/>
        <w:rPr>
          <w:rFonts w:ascii="仿宋_GB2312" w:eastAsia="仿宋_GB2312" w:hAnsi="仿宋_GB2312" w:cs="仿宋_GB2312" w:hint="eastAsia"/>
          <w:sz w:val="32"/>
          <w:szCs w:val="32"/>
        </w:rPr>
      </w:pPr>
      <w:r w:rsidRPr="00A66012">
        <w:rPr>
          <w:rFonts w:ascii="仿宋_GB2312" w:eastAsia="仿宋_GB2312" w:hAnsi="仿宋_GB2312" w:cs="仿宋_GB2312" w:hint="eastAsia"/>
          <w:sz w:val="32"/>
          <w:szCs w:val="32"/>
        </w:rPr>
        <w:t>二氧化硫残留量超标的原因有以下3个可能性：1、个别生产者使用劣质原料以降低成本，其后为了提高产品色泽超量使用二氧化硫；2、生产者使用时二氧化硫添加剂时不计量或计量不准确；3、生产者为增加保质期，防止霉变生虫，违规对其进行二氧化硫熏蒸或添加。</w:t>
      </w:r>
    </w:p>
    <w:sectPr w:rsidR="00A66012" w:rsidRPr="00A66012">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56A0" w14:textId="77777777" w:rsidR="00AA6573" w:rsidRDefault="00AA6573">
      <w:r>
        <w:separator/>
      </w:r>
    </w:p>
  </w:endnote>
  <w:endnote w:type="continuationSeparator" w:id="0">
    <w:p w14:paraId="7AC70581" w14:textId="77777777" w:rsidR="00AA6573" w:rsidRDefault="00AA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4AA6" w14:textId="77777777" w:rsidR="00B94D6C" w:rsidRDefault="00A76C7F">
    <w:pPr>
      <w:pStyle w:val="a4"/>
    </w:pPr>
    <w:r>
      <w:rPr>
        <w:noProof/>
      </w:rPr>
      <mc:AlternateContent>
        <mc:Choice Requires="wps">
          <w:drawing>
            <wp:anchor distT="0" distB="0" distL="114300" distR="114300" simplePos="0" relativeHeight="251659264" behindDoc="0" locked="0" layoutInCell="1" allowOverlap="1" wp14:anchorId="1689CF6B" wp14:editId="3FE702E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73941" w14:textId="77777777" w:rsidR="00B94D6C" w:rsidRDefault="00A76C7F">
                          <w:pPr>
                            <w:pStyle w:val="a4"/>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89CF6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673941" w14:textId="77777777" w:rsidR="00B94D6C" w:rsidRDefault="00A76C7F">
                    <w:pPr>
                      <w:pStyle w:val="a4"/>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0C65" w14:textId="77777777" w:rsidR="00AA6573" w:rsidRDefault="00AA6573">
      <w:r>
        <w:separator/>
      </w:r>
    </w:p>
  </w:footnote>
  <w:footnote w:type="continuationSeparator" w:id="0">
    <w:p w14:paraId="60A6BF40" w14:textId="77777777" w:rsidR="00AA6573" w:rsidRDefault="00AA6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NlZjMwZTNmMjk5MTVhZWE4Njg0NTQwNWNhZTNlY2YifQ=="/>
  </w:docVars>
  <w:rsids>
    <w:rsidRoot w:val="00B94D6C"/>
    <w:rsid w:val="BAD6AAAF"/>
    <w:rsid w:val="BDF38AC6"/>
    <w:rsid w:val="BE42F308"/>
    <w:rsid w:val="00014591"/>
    <w:rsid w:val="00086340"/>
    <w:rsid w:val="002C5858"/>
    <w:rsid w:val="00310316"/>
    <w:rsid w:val="00361B0D"/>
    <w:rsid w:val="004E281B"/>
    <w:rsid w:val="006F7C79"/>
    <w:rsid w:val="00A66012"/>
    <w:rsid w:val="00A76C7F"/>
    <w:rsid w:val="00AA6573"/>
    <w:rsid w:val="00B548EB"/>
    <w:rsid w:val="00B94D6C"/>
    <w:rsid w:val="00C2317B"/>
    <w:rsid w:val="00CB5CF0"/>
    <w:rsid w:val="00CD187A"/>
    <w:rsid w:val="00E26407"/>
    <w:rsid w:val="00E72D6E"/>
    <w:rsid w:val="00F87F07"/>
    <w:rsid w:val="27055BD9"/>
    <w:rsid w:val="2F73982C"/>
    <w:rsid w:val="3616661A"/>
    <w:rsid w:val="44A630B2"/>
    <w:rsid w:val="4812704D"/>
    <w:rsid w:val="4BFB1B9B"/>
    <w:rsid w:val="5D5FEA2B"/>
    <w:rsid w:val="5DE6BCE9"/>
    <w:rsid w:val="6FFDF1A8"/>
    <w:rsid w:val="7A9C3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D1CFB"/>
  <w15:docId w15:val="{E3883EE0-A649-4E4C-8485-0D3CEC44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semiHidden="1" w:uiPriority="99" w:unhideWhenUsed="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semiHidden/>
    <w:unhideWhenUsed/>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86133</dc:creator>
  <cp:lastModifiedBy>xiaoping liang</cp:lastModifiedBy>
  <cp:revision>2</cp:revision>
  <dcterms:created xsi:type="dcterms:W3CDTF">2025-03-11T09:14:00Z</dcterms:created>
  <dcterms:modified xsi:type="dcterms:W3CDTF">2025-03-11T09:14:00Z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24AFBB22E9CA41C4A345BFC6277AD6F6_13</vt:lpwstr>
  </property>
</Properties>
</file>