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市手提式干粉灭火器产品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质量监督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抽查实施细则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年版）</w:t>
      </w:r>
    </w:p>
    <w:p>
      <w:pPr>
        <w:snapToGrid w:val="0"/>
        <w:spacing w:line="440" w:lineRule="exact"/>
        <w:rPr>
          <w:rFonts w:eastAsia="黑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1 抽样方法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以随机抽样的方式在被抽样生产者、销售者的待销产品中抽取。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随机数一般可使用随机数表等方法产生。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每批次抽样数量见表1。</w:t>
      </w:r>
    </w:p>
    <w:p>
      <w:pPr>
        <w:snapToGrid w:val="0"/>
        <w:spacing w:line="440" w:lineRule="exact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color w:val="000000"/>
          <w:szCs w:val="21"/>
        </w:rPr>
        <w:t>表1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color w:val="000000"/>
          <w:szCs w:val="21"/>
        </w:rPr>
        <w:t xml:space="preserve"> 抽取样品数量</w:t>
      </w:r>
    </w:p>
    <w:tbl>
      <w:tblPr>
        <w:tblStyle w:val="11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450"/>
        <w:gridCol w:w="2016"/>
        <w:gridCol w:w="204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48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产品种类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抽样数量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检验样品数量</w:t>
            </w:r>
          </w:p>
        </w:tc>
        <w:tc>
          <w:tcPr>
            <w:tcW w:w="166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备用样品数量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83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手提式干粉灭火器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具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具</w:t>
            </w:r>
          </w:p>
        </w:tc>
        <w:tc>
          <w:tcPr>
            <w:tcW w:w="166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 检验依据</w:t>
      </w:r>
    </w:p>
    <w:tbl>
      <w:tblPr>
        <w:tblStyle w:val="11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57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345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20℃时喷射性能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4351—20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充装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4351—20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Cs w:val="21"/>
                <w:lang w:val="en-US" w:eastAsia="zh-CN"/>
              </w:rPr>
              <w:t>瓶体水压试验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4351—20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瓶体爆破性能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4351—20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灭火剂第一主要组分含量</w:t>
            </w:r>
          </w:p>
        </w:tc>
        <w:tc>
          <w:tcPr>
            <w:tcW w:w="3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 4066—2017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执行企业标准、团体标准、地方标准的产品，检验项目参照上述内容执行。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47" w:firstLineChars="17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凡是注日期的文件，其随后所有的修改单（不包括勘误的内容）或修订版不适用于本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。凡是不注日期的文件，其最新版本适用于本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3 判定规则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3.1依据标准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47" w:firstLineChars="17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 4351-20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23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手提式灭火器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GB 4066—2017 干粉灭火剂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47" w:firstLineChars="17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现行有效的企业标准、团体标准、地方标准及产品明示质量要求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3.2判定原则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经检验，检验项目全部合格，判定为被抽查产品所检项目未发现不合格；检验项目中任一项或一项以上不合格，判定为被抽查产品不合格。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若被检产品明示的质量要求高于本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中检验项目依据的标准要求时，应按被检产品明示的质量要求判定。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若被检产品明示的质量要求低于本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中检验项目依据的强制性标准要求时，应按照强制性标准要求判定。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若被检产品明示的质量要求低于或包含本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中检验项目依据的推荐性标准要求时，应以被检产品明示的质量要求判定。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若被检产品明示的质量要求缺少本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中检验项目依据的强制性标准要求时，应按照强制性标准要求判定。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若被检产品明示的质量要求缺少本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中检验项目依据的推荐性标准要求时，该项目不参与判定。</w:t>
      </w:r>
    </w:p>
    <w:p>
      <w:pPr>
        <w:snapToGrid w:val="0"/>
        <w:spacing w:line="440" w:lineRule="exact"/>
        <w:ind w:firstLine="417" w:firstLineChars="199"/>
        <w:rPr>
          <w:color w:val="000000"/>
          <w:szCs w:val="21"/>
        </w:rPr>
      </w:pPr>
    </w:p>
    <w:p>
      <w:pPr>
        <w:snapToGrid w:val="0"/>
        <w:spacing w:line="360" w:lineRule="auto"/>
        <w:ind w:firstLine="403" w:firstLineChars="19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DRmOWVmMjUzYmMzNDZlMTljM2FhMzcxMTNiNjcifQ=="/>
    <w:docVar w:name="KSO_WPS_MARK_KEY" w:val="c137cfcb-9945-4855-8687-d00fed023387"/>
  </w:docVars>
  <w:rsids>
    <w:rsidRoot w:val="00941478"/>
    <w:rsid w:val="00027D12"/>
    <w:rsid w:val="000477EE"/>
    <w:rsid w:val="00056D7A"/>
    <w:rsid w:val="000E28D8"/>
    <w:rsid w:val="00141E19"/>
    <w:rsid w:val="00175AA3"/>
    <w:rsid w:val="001F50DA"/>
    <w:rsid w:val="00202FF8"/>
    <w:rsid w:val="00296D99"/>
    <w:rsid w:val="002D001F"/>
    <w:rsid w:val="002E1C07"/>
    <w:rsid w:val="0034591F"/>
    <w:rsid w:val="003855B7"/>
    <w:rsid w:val="003B199C"/>
    <w:rsid w:val="003C60DD"/>
    <w:rsid w:val="003D7533"/>
    <w:rsid w:val="003F6A35"/>
    <w:rsid w:val="004021C1"/>
    <w:rsid w:val="00446138"/>
    <w:rsid w:val="004B5441"/>
    <w:rsid w:val="004C5A27"/>
    <w:rsid w:val="004E3D81"/>
    <w:rsid w:val="004E7F46"/>
    <w:rsid w:val="005E4868"/>
    <w:rsid w:val="00652B98"/>
    <w:rsid w:val="00655E79"/>
    <w:rsid w:val="006618EA"/>
    <w:rsid w:val="00662F0E"/>
    <w:rsid w:val="006F3BA6"/>
    <w:rsid w:val="007674DF"/>
    <w:rsid w:val="0077485F"/>
    <w:rsid w:val="007773D7"/>
    <w:rsid w:val="00781150"/>
    <w:rsid w:val="007E373A"/>
    <w:rsid w:val="0082799D"/>
    <w:rsid w:val="00874479"/>
    <w:rsid w:val="00891933"/>
    <w:rsid w:val="00897A1B"/>
    <w:rsid w:val="008E302C"/>
    <w:rsid w:val="009000EE"/>
    <w:rsid w:val="00941478"/>
    <w:rsid w:val="009442C3"/>
    <w:rsid w:val="00951E50"/>
    <w:rsid w:val="009721C2"/>
    <w:rsid w:val="009A7BD1"/>
    <w:rsid w:val="009C47E3"/>
    <w:rsid w:val="009C74FD"/>
    <w:rsid w:val="00A01A66"/>
    <w:rsid w:val="00A06A60"/>
    <w:rsid w:val="00A63053"/>
    <w:rsid w:val="00A81852"/>
    <w:rsid w:val="00BB78DC"/>
    <w:rsid w:val="00BC6D72"/>
    <w:rsid w:val="00BE1E7C"/>
    <w:rsid w:val="00C16CA1"/>
    <w:rsid w:val="00C21CE8"/>
    <w:rsid w:val="00CF5C66"/>
    <w:rsid w:val="00D95FEC"/>
    <w:rsid w:val="00D9655D"/>
    <w:rsid w:val="00DD72F4"/>
    <w:rsid w:val="00DF4CB7"/>
    <w:rsid w:val="00E3587B"/>
    <w:rsid w:val="00E52819"/>
    <w:rsid w:val="00E5447F"/>
    <w:rsid w:val="00F74338"/>
    <w:rsid w:val="0324215A"/>
    <w:rsid w:val="034B5B80"/>
    <w:rsid w:val="0370719E"/>
    <w:rsid w:val="04BC3FEE"/>
    <w:rsid w:val="09C85B39"/>
    <w:rsid w:val="0A015DF7"/>
    <w:rsid w:val="0CD67C16"/>
    <w:rsid w:val="0D287B05"/>
    <w:rsid w:val="0D957AD2"/>
    <w:rsid w:val="0DDF0D4D"/>
    <w:rsid w:val="0E464265"/>
    <w:rsid w:val="0F4C0664"/>
    <w:rsid w:val="11060480"/>
    <w:rsid w:val="113402FC"/>
    <w:rsid w:val="11BF0CA1"/>
    <w:rsid w:val="142528B7"/>
    <w:rsid w:val="1457788F"/>
    <w:rsid w:val="14EF71CD"/>
    <w:rsid w:val="159D5775"/>
    <w:rsid w:val="176C3651"/>
    <w:rsid w:val="1816180F"/>
    <w:rsid w:val="1C064EA4"/>
    <w:rsid w:val="1DA7064C"/>
    <w:rsid w:val="1DCA6EBD"/>
    <w:rsid w:val="1DD5735F"/>
    <w:rsid w:val="20C24C47"/>
    <w:rsid w:val="213351E0"/>
    <w:rsid w:val="218A321D"/>
    <w:rsid w:val="22DD3B47"/>
    <w:rsid w:val="22FEACD0"/>
    <w:rsid w:val="232474D6"/>
    <w:rsid w:val="235F7D24"/>
    <w:rsid w:val="25D30D3F"/>
    <w:rsid w:val="28DC2754"/>
    <w:rsid w:val="2A4F1A4F"/>
    <w:rsid w:val="2C10138F"/>
    <w:rsid w:val="2D982304"/>
    <w:rsid w:val="2E9574DA"/>
    <w:rsid w:val="316F096E"/>
    <w:rsid w:val="346176BE"/>
    <w:rsid w:val="35DF0B77"/>
    <w:rsid w:val="3872190C"/>
    <w:rsid w:val="3A6E5871"/>
    <w:rsid w:val="3C4C4026"/>
    <w:rsid w:val="3DC12361"/>
    <w:rsid w:val="3E481E73"/>
    <w:rsid w:val="3EB278FA"/>
    <w:rsid w:val="3F547660"/>
    <w:rsid w:val="400D3374"/>
    <w:rsid w:val="40DA6E6B"/>
    <w:rsid w:val="41C8743D"/>
    <w:rsid w:val="4224225E"/>
    <w:rsid w:val="428325C4"/>
    <w:rsid w:val="43324193"/>
    <w:rsid w:val="43975E08"/>
    <w:rsid w:val="43BF27FD"/>
    <w:rsid w:val="460074D7"/>
    <w:rsid w:val="4D4F2B79"/>
    <w:rsid w:val="4D5D4942"/>
    <w:rsid w:val="4E0A7021"/>
    <w:rsid w:val="4EFB66F0"/>
    <w:rsid w:val="4F3F3632"/>
    <w:rsid w:val="4F6603AB"/>
    <w:rsid w:val="5090586F"/>
    <w:rsid w:val="50F10148"/>
    <w:rsid w:val="512F6A58"/>
    <w:rsid w:val="514C4527"/>
    <w:rsid w:val="51F136FB"/>
    <w:rsid w:val="52D41ACF"/>
    <w:rsid w:val="53156131"/>
    <w:rsid w:val="53965D32"/>
    <w:rsid w:val="547D0E29"/>
    <w:rsid w:val="56902255"/>
    <w:rsid w:val="585E6CB6"/>
    <w:rsid w:val="58FA6197"/>
    <w:rsid w:val="5960517A"/>
    <w:rsid w:val="59617D56"/>
    <w:rsid w:val="596C70D1"/>
    <w:rsid w:val="59D41F8A"/>
    <w:rsid w:val="5D731A30"/>
    <w:rsid w:val="5D7E2A80"/>
    <w:rsid w:val="5DFD01A5"/>
    <w:rsid w:val="5EE96902"/>
    <w:rsid w:val="5FCC3920"/>
    <w:rsid w:val="6162299C"/>
    <w:rsid w:val="62775F41"/>
    <w:rsid w:val="62AA37B7"/>
    <w:rsid w:val="62C24AB1"/>
    <w:rsid w:val="65595E2E"/>
    <w:rsid w:val="66024766"/>
    <w:rsid w:val="6703252B"/>
    <w:rsid w:val="691E365F"/>
    <w:rsid w:val="69E73C66"/>
    <w:rsid w:val="69F272B9"/>
    <w:rsid w:val="6AC11246"/>
    <w:rsid w:val="6AEA7C8A"/>
    <w:rsid w:val="6B753F71"/>
    <w:rsid w:val="6B824366"/>
    <w:rsid w:val="6CF53F96"/>
    <w:rsid w:val="6E636B17"/>
    <w:rsid w:val="6F801DF1"/>
    <w:rsid w:val="6FDF864A"/>
    <w:rsid w:val="70DF5DB7"/>
    <w:rsid w:val="730B4C41"/>
    <w:rsid w:val="73465C7A"/>
    <w:rsid w:val="782A7DF8"/>
    <w:rsid w:val="7A7F28DC"/>
    <w:rsid w:val="7B014BE7"/>
    <w:rsid w:val="7BB14121"/>
    <w:rsid w:val="7BEA37A4"/>
    <w:rsid w:val="7C765821"/>
    <w:rsid w:val="7DD87E16"/>
    <w:rsid w:val="7E0E440A"/>
    <w:rsid w:val="7E857F9E"/>
    <w:rsid w:val="7FE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Plain Text"/>
    <w:basedOn w:val="1"/>
    <w:link w:val="25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4"/>
    <w:unhideWhenUsed/>
    <w:qFormat/>
    <w:uiPriority w:val="99"/>
    <w:rPr>
      <w:b/>
      <w:bCs/>
    </w:rPr>
  </w:style>
  <w:style w:type="character" w:styleId="13">
    <w:name w:val="page number"/>
    <w:qFormat/>
    <w:uiPriority w:val="0"/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character" w:customStyle="1" w:styleId="17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8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8"/>
    <w:semiHidden/>
    <w:qFormat/>
    <w:uiPriority w:val="99"/>
    <w:rPr>
      <w:sz w:val="18"/>
      <w:szCs w:val="18"/>
    </w:rPr>
  </w:style>
  <w:style w:type="character" w:customStyle="1" w:styleId="23">
    <w:name w:val="页眉 Char"/>
    <w:link w:val="9"/>
    <w:semiHidden/>
    <w:qFormat/>
    <w:uiPriority w:val="99"/>
    <w:rPr>
      <w:sz w:val="18"/>
      <w:szCs w:val="18"/>
    </w:rPr>
  </w:style>
  <w:style w:type="character" w:customStyle="1" w:styleId="24">
    <w:name w:val="批注主题 Char"/>
    <w:link w:val="10"/>
    <w:semiHidden/>
    <w:qFormat/>
    <w:uiPriority w:val="99"/>
    <w:rPr>
      <w:b/>
      <w:bCs/>
    </w:rPr>
  </w:style>
  <w:style w:type="character" w:customStyle="1" w:styleId="25">
    <w:name w:val="纯文本 Char1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6">
    <w:name w:val="公文"/>
    <w:basedOn w:val="1"/>
    <w:qFormat/>
    <w:uiPriority w:val="0"/>
    <w:pPr>
      <w:widowControl/>
      <w:adjustRightInd w:val="0"/>
      <w:snapToGrid w:val="0"/>
      <w:spacing w:beforeLines="25" w:afterLines="35"/>
      <w:ind w:firstLine="200" w:firstLineChars="200"/>
      <w:jc w:val="left"/>
    </w:pPr>
    <w:rPr>
      <w:rFonts w:ascii="仿宋_GB2312" w:eastAsia="仿宋_GB2312"/>
      <w:bCs/>
      <w:kern w:val="0"/>
      <w:sz w:val="32"/>
    </w:rPr>
  </w:style>
  <w:style w:type="paragraph" w:customStyle="1" w:styleId="27">
    <w:name w:val="表格"/>
    <w:basedOn w:val="1"/>
    <w:qFormat/>
    <w:uiPriority w:val="0"/>
    <w:pPr>
      <w:adjustRightInd w:val="0"/>
      <w:snapToGrid w:val="0"/>
      <w:jc w:val="center"/>
    </w:pPr>
    <w:rPr>
      <w:rFonts w:ascii="仿宋_GB2312" w:hAnsi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4</Pages>
  <Words>1711</Words>
  <Characters>2380</Characters>
  <Lines>61</Lines>
  <Paragraphs>17</Paragraphs>
  <TotalTime>8</TotalTime>
  <ScaleCrop>false</ScaleCrop>
  <LinksUpToDate>false</LinksUpToDate>
  <CharactersWithSpaces>2503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2022-03-16T21:20:00Z</dcterms:created>
  <dc:creator>周怡</dc:creator>
  <cp:lastModifiedBy>李文湘</cp:lastModifiedBy>
  <dcterms:modified xsi:type="dcterms:W3CDTF">2025-08-13T01:10:15Z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108C2D9E98A24323B84E3CBCC5B90AA0</vt:lpwstr>
  </property>
  <property fmtid="{D5CDD505-2E9C-101B-9397-08002B2CF9AE}" pid="4" name="KSOTemplateDocerSaveRecord">
    <vt:lpwstr>eyJoZGlkIjoiODg3NDRmOWVmMjUzYmMzNDZlMTljM2FhMzcxMTNiNjciLCJ1c2VySWQiOiIxMzEyOTc0NjE0In0=</vt:lpwstr>
  </property>
</Properties>
</file>