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汕尾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市PVC管材及管件产品质量监督抽查实施细则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1 抽样方法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以随机抽样的方式在被抽样生产者、销售者的待销产品中抽取。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随机数一般可使用随机数表等方法产生。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每批次抽样数量见表1。</w:t>
      </w:r>
    </w:p>
    <w:p>
      <w:pPr>
        <w:snapToGrid w:val="0"/>
        <w:spacing w:line="440" w:lineRule="exact"/>
        <w:ind w:firstLine="420" w:firstLineChars="200"/>
        <w:jc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color w:val="000000"/>
          <w:szCs w:val="21"/>
        </w:rPr>
        <w:t>表1 抽取样品数量</w:t>
      </w:r>
    </w:p>
    <w:tbl>
      <w:tblPr>
        <w:tblStyle w:val="11"/>
        <w:tblW w:w="8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191"/>
        <w:gridCol w:w="1845"/>
        <w:gridCol w:w="1965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546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产品种类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抽样数量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检验样品数量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备用样品数量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546" w:type="dxa"/>
            <w:noWrap w:val="0"/>
            <w:vAlign w:val="center"/>
          </w:tcPr>
          <w:p>
            <w:pPr>
              <w:snapToGrid w:val="0"/>
              <w:spacing w:line="440" w:lineRule="exact"/>
              <w:jc w:val="both"/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napToGrid w:val="0"/>
              <w:spacing w:line="440" w:lineRule="exact"/>
              <w:jc w:val="both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给水用硬聚氯乙烯（PVC-U）管材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1.0m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sym w:font="Symbol" w:char="F0B4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段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1.0m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sym w:font="Symbol" w:char="F0B4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段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1.0m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sym w:font="Symbol" w:char="F0B4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546" w:type="dxa"/>
            <w:noWrap w:val="0"/>
            <w:vAlign w:val="center"/>
          </w:tcPr>
          <w:p>
            <w:pPr>
              <w:snapToGrid w:val="0"/>
              <w:spacing w:line="440" w:lineRule="exact"/>
              <w:jc w:val="both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napToGrid w:val="0"/>
              <w:spacing w:line="440" w:lineRule="exact"/>
              <w:jc w:val="both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给水用硬聚氯乙烯（PVC-U）管件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个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个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546" w:type="dxa"/>
            <w:noWrap w:val="0"/>
            <w:vAlign w:val="center"/>
          </w:tcPr>
          <w:p>
            <w:pPr>
              <w:snapToGrid w:val="0"/>
              <w:spacing w:line="440" w:lineRule="exact"/>
              <w:jc w:val="both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napToGrid w:val="0"/>
              <w:spacing w:line="440" w:lineRule="exact"/>
              <w:jc w:val="both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排水用硬聚氯乙烯（PVC-U）管材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1.0m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sym w:font="Symbol" w:char="F0B4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段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1.0m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sym w:font="Symbol" w:char="F0B4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段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1.0m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sym w:font="Symbol" w:char="F0B4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546" w:type="dxa"/>
            <w:noWrap w:val="0"/>
            <w:vAlign w:val="center"/>
          </w:tcPr>
          <w:p>
            <w:pPr>
              <w:snapToGrid w:val="0"/>
              <w:spacing w:line="440" w:lineRule="exact"/>
              <w:jc w:val="both"/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napToGrid w:val="0"/>
              <w:spacing w:line="440" w:lineRule="exact"/>
              <w:jc w:val="both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排水用硬聚氯乙烯（PVC-U）管件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个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个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个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2 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.1 给水用硬聚氯乙烯（PVC-U）管材</w:t>
      </w:r>
    </w:p>
    <w:p>
      <w:pPr>
        <w:snapToGrid w:val="0"/>
        <w:spacing w:line="440" w:lineRule="exact"/>
        <w:ind w:firstLine="420" w:firstLineChars="200"/>
        <w:jc w:val="center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表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 xml:space="preserve"> 给水用硬聚氯乙烯（PVC-U）管材</w:t>
      </w:r>
    </w:p>
    <w:tbl>
      <w:tblPr>
        <w:tblStyle w:val="11"/>
        <w:tblW w:w="8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754"/>
        <w:gridCol w:w="3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tblHeader/>
          <w:jc w:val="center"/>
        </w:trPr>
        <w:tc>
          <w:tcPr>
            <w:tcW w:w="9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75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检验项目</w:t>
            </w:r>
          </w:p>
        </w:tc>
        <w:tc>
          <w:tcPr>
            <w:tcW w:w="375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91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1</w:t>
            </w:r>
          </w:p>
        </w:tc>
        <w:tc>
          <w:tcPr>
            <w:tcW w:w="3754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任一点壁厚</w:t>
            </w:r>
          </w:p>
        </w:tc>
        <w:tc>
          <w:tcPr>
            <w:tcW w:w="3753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szCs w:val="21"/>
              </w:rPr>
              <w:t>GB/T 8806—2008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3" w:hRule="atLeast"/>
          <w:jc w:val="center"/>
        </w:trPr>
        <w:tc>
          <w:tcPr>
            <w:tcW w:w="91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2</w:t>
            </w:r>
          </w:p>
        </w:tc>
        <w:tc>
          <w:tcPr>
            <w:tcW w:w="3754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平均外径</w:t>
            </w:r>
          </w:p>
        </w:tc>
        <w:tc>
          <w:tcPr>
            <w:tcW w:w="3753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GB/T 10002.1-2023</w:t>
            </w:r>
          </w:p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szCs w:val="21"/>
              </w:rPr>
              <w:t>GB/T 8806—2008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91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3</w:t>
            </w:r>
          </w:p>
        </w:tc>
        <w:tc>
          <w:tcPr>
            <w:tcW w:w="3754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密度</w:t>
            </w:r>
          </w:p>
        </w:tc>
        <w:tc>
          <w:tcPr>
            <w:tcW w:w="3753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color w:val="000000"/>
                <w:szCs w:val="21"/>
              </w:rPr>
              <w:t>GB/T 1033.1</w:t>
            </w:r>
            <w:r>
              <w:rPr>
                <w:color w:val="000000"/>
                <w:sz w:val="24"/>
              </w:rPr>
              <w:t>—</w:t>
            </w:r>
            <w:r>
              <w:rPr>
                <w:color w:val="000000"/>
                <w:szCs w:val="21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91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4</w:t>
            </w:r>
          </w:p>
        </w:tc>
        <w:tc>
          <w:tcPr>
            <w:tcW w:w="3754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维卡软化温度</w:t>
            </w:r>
          </w:p>
        </w:tc>
        <w:tc>
          <w:tcPr>
            <w:tcW w:w="3753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color w:val="000000"/>
                <w:szCs w:val="21"/>
              </w:rPr>
              <w:t>GB/T 8802</w:t>
            </w:r>
            <w:r>
              <w:rPr>
                <w:color w:val="000000"/>
                <w:sz w:val="24"/>
              </w:rPr>
              <w:t>—</w:t>
            </w:r>
            <w:r>
              <w:rPr>
                <w:color w:val="000000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91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5</w:t>
            </w:r>
          </w:p>
        </w:tc>
        <w:tc>
          <w:tcPr>
            <w:tcW w:w="3754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纵向回缩率</w:t>
            </w:r>
          </w:p>
        </w:tc>
        <w:tc>
          <w:tcPr>
            <w:tcW w:w="3753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color w:val="000000"/>
                <w:szCs w:val="21"/>
              </w:rPr>
              <w:t>GB/T 6671</w:t>
            </w:r>
            <w:r>
              <w:rPr>
                <w:color w:val="000000"/>
                <w:sz w:val="24"/>
              </w:rPr>
              <w:t>—</w:t>
            </w:r>
            <w:r>
              <w:rPr>
                <w:color w:val="000000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91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6</w:t>
            </w:r>
          </w:p>
        </w:tc>
        <w:tc>
          <w:tcPr>
            <w:tcW w:w="3754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拉伸屈服应力</w:t>
            </w:r>
          </w:p>
        </w:tc>
        <w:tc>
          <w:tcPr>
            <w:tcW w:w="3753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color w:val="000000"/>
                <w:szCs w:val="21"/>
              </w:rPr>
              <w:t>GB/T 8804.2</w:t>
            </w:r>
            <w:r>
              <w:rPr>
                <w:color w:val="000000"/>
                <w:sz w:val="24"/>
              </w:rPr>
              <w:t>—</w:t>
            </w:r>
            <w:r>
              <w:rPr>
                <w:color w:val="000000"/>
                <w:szCs w:val="21"/>
              </w:rPr>
              <w:t>2003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2 给水用硬聚氯乙烯（PVC-U）管件</w:t>
      </w:r>
    </w:p>
    <w:p>
      <w:pPr>
        <w:pStyle w:val="5"/>
        <w:snapToGrid w:val="0"/>
        <w:spacing w:before="156" w:beforeLines="50" w:after="156" w:afterLines="50"/>
        <w:jc w:val="center"/>
        <w:rPr>
          <w:rFonts w:hint="eastAsia" w:cs="Times New Roman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表</w:t>
      </w:r>
      <w:r>
        <w:rPr>
          <w:rFonts w:hint="eastAsia" w:hAnsi="宋体" w:cs="宋体"/>
          <w:color w:val="000000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 xml:space="preserve">  给水用硬聚氯乙烯（PVC-U）管件</w:t>
      </w:r>
    </w:p>
    <w:tbl>
      <w:tblPr>
        <w:tblStyle w:val="11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3802"/>
        <w:gridCol w:w="3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80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检验项目</w:t>
            </w:r>
          </w:p>
        </w:tc>
        <w:tc>
          <w:tcPr>
            <w:tcW w:w="38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940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1</w:t>
            </w:r>
          </w:p>
        </w:tc>
        <w:tc>
          <w:tcPr>
            <w:tcW w:w="380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主体壁厚</w:t>
            </w:r>
          </w:p>
        </w:tc>
        <w:tc>
          <w:tcPr>
            <w:tcW w:w="381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szCs w:val="21"/>
              </w:rPr>
              <w:t>GB/T 8806—2008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940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</w:rPr>
              <w:t>2</w:t>
            </w:r>
          </w:p>
        </w:tc>
        <w:tc>
          <w:tcPr>
            <w:tcW w:w="380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密度</w:t>
            </w:r>
          </w:p>
        </w:tc>
        <w:tc>
          <w:tcPr>
            <w:tcW w:w="381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color w:val="000000"/>
                <w:szCs w:val="21"/>
              </w:rPr>
              <w:t>GB/T 1033.1</w:t>
            </w:r>
            <w:r>
              <w:rPr>
                <w:color w:val="000000"/>
                <w:sz w:val="24"/>
              </w:rPr>
              <w:t>—</w:t>
            </w:r>
            <w:r>
              <w:rPr>
                <w:color w:val="000000"/>
                <w:szCs w:val="21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940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</w:rPr>
              <w:t>3</w:t>
            </w:r>
          </w:p>
        </w:tc>
        <w:tc>
          <w:tcPr>
            <w:tcW w:w="380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维卡软化温度</w:t>
            </w:r>
          </w:p>
        </w:tc>
        <w:tc>
          <w:tcPr>
            <w:tcW w:w="381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color w:val="000000"/>
                <w:szCs w:val="21"/>
              </w:rPr>
              <w:t>GB/T 8802</w:t>
            </w:r>
            <w:r>
              <w:rPr>
                <w:color w:val="000000"/>
                <w:sz w:val="24"/>
              </w:rPr>
              <w:t>—</w:t>
            </w:r>
            <w:r>
              <w:rPr>
                <w:color w:val="000000"/>
                <w:szCs w:val="21"/>
              </w:rPr>
              <w:t>2001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.3 排水用硬聚氯乙烯（PVC-U）管材</w:t>
      </w:r>
    </w:p>
    <w:p>
      <w:pPr>
        <w:widowControl/>
        <w:snapToGrid w:val="0"/>
        <w:jc w:val="center"/>
        <w:rPr>
          <w:rFonts w:hint="default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表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 xml:space="preserve"> 排水用硬聚氯乙烯（PVC-U）管材</w:t>
      </w:r>
    </w:p>
    <w:tbl>
      <w:tblPr>
        <w:tblStyle w:val="11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3846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  <w:tblHeader/>
          <w:jc w:val="center"/>
        </w:trPr>
        <w:tc>
          <w:tcPr>
            <w:tcW w:w="95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检验项目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atLeast"/>
          <w:jc w:val="center"/>
        </w:trPr>
        <w:tc>
          <w:tcPr>
            <w:tcW w:w="95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1</w:t>
            </w:r>
          </w:p>
        </w:tc>
        <w:tc>
          <w:tcPr>
            <w:tcW w:w="384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平均外径</w:t>
            </w:r>
          </w:p>
        </w:tc>
        <w:tc>
          <w:tcPr>
            <w:tcW w:w="3861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GB/T 5836.1—2018</w:t>
            </w:r>
          </w:p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GB/T 8806—2008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atLeast"/>
          <w:jc w:val="center"/>
        </w:trPr>
        <w:tc>
          <w:tcPr>
            <w:tcW w:w="95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2</w:t>
            </w:r>
          </w:p>
        </w:tc>
        <w:tc>
          <w:tcPr>
            <w:tcW w:w="384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壁厚</w:t>
            </w:r>
          </w:p>
        </w:tc>
        <w:tc>
          <w:tcPr>
            <w:tcW w:w="3861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GB/T 5836.1—2018</w:t>
            </w:r>
          </w:p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GB/T 8806—2008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atLeast"/>
          <w:jc w:val="center"/>
        </w:trPr>
        <w:tc>
          <w:tcPr>
            <w:tcW w:w="95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3</w:t>
            </w:r>
          </w:p>
        </w:tc>
        <w:tc>
          <w:tcPr>
            <w:tcW w:w="384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密度</w:t>
            </w:r>
          </w:p>
        </w:tc>
        <w:tc>
          <w:tcPr>
            <w:tcW w:w="3861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GB/T 5836.1—2018</w:t>
            </w:r>
          </w:p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GB/T 1033.1—2008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95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4</w:t>
            </w:r>
          </w:p>
        </w:tc>
        <w:tc>
          <w:tcPr>
            <w:tcW w:w="384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维卡软化温度</w:t>
            </w:r>
          </w:p>
        </w:tc>
        <w:tc>
          <w:tcPr>
            <w:tcW w:w="3861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GB/T 8802—2001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atLeast"/>
          <w:jc w:val="center"/>
        </w:trPr>
        <w:tc>
          <w:tcPr>
            <w:tcW w:w="95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5</w:t>
            </w:r>
          </w:p>
        </w:tc>
        <w:tc>
          <w:tcPr>
            <w:tcW w:w="384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纵向回缩率</w:t>
            </w:r>
          </w:p>
        </w:tc>
        <w:tc>
          <w:tcPr>
            <w:tcW w:w="3861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GB/T 5836.1—2018</w:t>
            </w:r>
          </w:p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GB/T 6671—2001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95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6</w:t>
            </w:r>
          </w:p>
        </w:tc>
        <w:tc>
          <w:tcPr>
            <w:tcW w:w="384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拉伸屈服应力</w:t>
            </w:r>
          </w:p>
        </w:tc>
        <w:tc>
          <w:tcPr>
            <w:tcW w:w="3861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GB/T 8804.2—2003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2.4 排水用硬聚氯乙烯（PVC-U）管件</w:t>
      </w:r>
    </w:p>
    <w:p>
      <w:pPr>
        <w:widowControl/>
        <w:snapToGrid w:val="0"/>
        <w:jc w:val="center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表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排水用硬聚氯乙烯（PVC-U）管件</w:t>
      </w:r>
    </w:p>
    <w:tbl>
      <w:tblPr>
        <w:tblStyle w:val="11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3864"/>
        <w:gridCol w:w="3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86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检验项目</w:t>
            </w:r>
          </w:p>
        </w:tc>
        <w:tc>
          <w:tcPr>
            <w:tcW w:w="387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8" w:hRule="atLeast"/>
          <w:jc w:val="center"/>
        </w:trPr>
        <w:tc>
          <w:tcPr>
            <w:tcW w:w="95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1</w:t>
            </w:r>
          </w:p>
        </w:tc>
        <w:tc>
          <w:tcPr>
            <w:tcW w:w="3864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主体壁厚</w:t>
            </w:r>
          </w:p>
        </w:tc>
        <w:tc>
          <w:tcPr>
            <w:tcW w:w="3879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GB/T 5836.2-2018</w:t>
            </w:r>
          </w:p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GB/T 8806-2008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8" w:hRule="atLeast"/>
          <w:jc w:val="center"/>
        </w:trPr>
        <w:tc>
          <w:tcPr>
            <w:tcW w:w="95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2</w:t>
            </w:r>
          </w:p>
        </w:tc>
        <w:tc>
          <w:tcPr>
            <w:tcW w:w="3864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密度</w:t>
            </w:r>
          </w:p>
        </w:tc>
        <w:tc>
          <w:tcPr>
            <w:tcW w:w="3879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GB/T 5836.2-2018</w:t>
            </w:r>
          </w:p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GB/T 1033.1-2008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  <w:jc w:val="center"/>
        </w:trPr>
        <w:tc>
          <w:tcPr>
            <w:tcW w:w="95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3</w:t>
            </w:r>
          </w:p>
        </w:tc>
        <w:tc>
          <w:tcPr>
            <w:tcW w:w="3864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维卡软化温度</w:t>
            </w:r>
          </w:p>
        </w:tc>
        <w:tc>
          <w:tcPr>
            <w:tcW w:w="3879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156" w:beforeLines="50" w:after="156" w:afterLines="5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GB/T 8802-2001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执行企业标准、团体标准、地方标准的产品，检验项目参照上述内容执行。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47" w:firstLineChars="17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凡是注日期的文件，其随后所有的修改单（不包括勘误的内容）或修订版不适用于本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。凡是不注日期的文件，其最新版本适用于本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3 判定规则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3.1依据标准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GB/T 10002.1-2023 给水用硬聚氯乙烯（PVC-U）管材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GB/T 10002.2-2023 给水用硬聚氯乙烯（PVC-U）管件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GB/T 5836.1-2018 建筑排水用硬聚氯乙烯（PVC-U）管材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GB/T 5836.2-2018 建筑排水用硬聚氯乙烯（PVC-U）管件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47" w:firstLineChars="17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现行有效的企业标准、团体标准、地方标准及产品明示质量要求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3.2判定原则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经检验，检验项目全部合格，判定为被抽查产品所检项目未发现不合格；检验项目中任一项或一项以上不合格，判定为被抽查产品不合格。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若被检产品明示的质量要求高于本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中检验项目依据的标准要求时，应按被检产品明示的质量要求判定。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若被检产品明示的质量要求低于本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中检验项目依据的强制性标准要求时，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应按照强制性标准要求判定。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若被检产品明示的质量要求低于或包含本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中检验项目依据的推荐性标准要求时，应以被检产品明示的质量要求判定。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若被检产品明示的质量要求缺少本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中检验项目依据的强制性标准要求时，应按照强制性标准要求判定。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若被检产品明示的质量要求缺少本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中检验项目依据的推荐性标准要求时，该项目不参与判定。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14" w:firstLineChars="19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NDRmOWVmMjUzYmMzNDZlMTljM2FhMzcxMTNiNjcifQ=="/>
    <w:docVar w:name="KSO_WPS_MARK_KEY" w:val="c137cfcb-9945-4855-8687-d00fed023387"/>
  </w:docVars>
  <w:rsids>
    <w:rsidRoot w:val="00941478"/>
    <w:rsid w:val="00027D12"/>
    <w:rsid w:val="000477EE"/>
    <w:rsid w:val="00056D7A"/>
    <w:rsid w:val="000E28D8"/>
    <w:rsid w:val="00141E19"/>
    <w:rsid w:val="00175AA3"/>
    <w:rsid w:val="001F50DA"/>
    <w:rsid w:val="00202FF8"/>
    <w:rsid w:val="00296D99"/>
    <w:rsid w:val="002D001F"/>
    <w:rsid w:val="002E1C07"/>
    <w:rsid w:val="0034591F"/>
    <w:rsid w:val="003855B7"/>
    <w:rsid w:val="003B199C"/>
    <w:rsid w:val="003C60DD"/>
    <w:rsid w:val="003D7533"/>
    <w:rsid w:val="003F6A35"/>
    <w:rsid w:val="004021C1"/>
    <w:rsid w:val="00446138"/>
    <w:rsid w:val="004B5441"/>
    <w:rsid w:val="004C5A27"/>
    <w:rsid w:val="004E3D81"/>
    <w:rsid w:val="004E7F46"/>
    <w:rsid w:val="005E4868"/>
    <w:rsid w:val="00652B98"/>
    <w:rsid w:val="00655E79"/>
    <w:rsid w:val="006618EA"/>
    <w:rsid w:val="00662F0E"/>
    <w:rsid w:val="006F3BA6"/>
    <w:rsid w:val="007674DF"/>
    <w:rsid w:val="0077485F"/>
    <w:rsid w:val="007773D7"/>
    <w:rsid w:val="00781150"/>
    <w:rsid w:val="007E373A"/>
    <w:rsid w:val="0082799D"/>
    <w:rsid w:val="00874479"/>
    <w:rsid w:val="00891933"/>
    <w:rsid w:val="00897A1B"/>
    <w:rsid w:val="008E302C"/>
    <w:rsid w:val="009000EE"/>
    <w:rsid w:val="00941478"/>
    <w:rsid w:val="009442C3"/>
    <w:rsid w:val="00951E50"/>
    <w:rsid w:val="009721C2"/>
    <w:rsid w:val="009A7BD1"/>
    <w:rsid w:val="009C47E3"/>
    <w:rsid w:val="009C74FD"/>
    <w:rsid w:val="00A01A66"/>
    <w:rsid w:val="00A06A60"/>
    <w:rsid w:val="00A63053"/>
    <w:rsid w:val="00A81852"/>
    <w:rsid w:val="00BB78DC"/>
    <w:rsid w:val="00BC6D72"/>
    <w:rsid w:val="00BE1E7C"/>
    <w:rsid w:val="00C16CA1"/>
    <w:rsid w:val="00C21CE8"/>
    <w:rsid w:val="00CF5C66"/>
    <w:rsid w:val="00D41FC3"/>
    <w:rsid w:val="00D95FEC"/>
    <w:rsid w:val="00D9655D"/>
    <w:rsid w:val="00DD72F4"/>
    <w:rsid w:val="00DF4CB7"/>
    <w:rsid w:val="00E3587B"/>
    <w:rsid w:val="00E52819"/>
    <w:rsid w:val="00E5447F"/>
    <w:rsid w:val="00F74338"/>
    <w:rsid w:val="0324215A"/>
    <w:rsid w:val="034B5B80"/>
    <w:rsid w:val="0370719E"/>
    <w:rsid w:val="04294F34"/>
    <w:rsid w:val="09C85B39"/>
    <w:rsid w:val="0A015DF7"/>
    <w:rsid w:val="0ABA2D7D"/>
    <w:rsid w:val="0C002EB1"/>
    <w:rsid w:val="0CD67C16"/>
    <w:rsid w:val="0E9474DD"/>
    <w:rsid w:val="0F536241"/>
    <w:rsid w:val="11BF0CA1"/>
    <w:rsid w:val="142528B7"/>
    <w:rsid w:val="14EF71CD"/>
    <w:rsid w:val="172D3BA3"/>
    <w:rsid w:val="176C3651"/>
    <w:rsid w:val="1B732D8D"/>
    <w:rsid w:val="1C064EA4"/>
    <w:rsid w:val="1DA7064C"/>
    <w:rsid w:val="1DCA6EBD"/>
    <w:rsid w:val="1DD5735F"/>
    <w:rsid w:val="1F087BD5"/>
    <w:rsid w:val="216E67BB"/>
    <w:rsid w:val="218A321D"/>
    <w:rsid w:val="22DB54CB"/>
    <w:rsid w:val="22FEACD0"/>
    <w:rsid w:val="24E964E8"/>
    <w:rsid w:val="25D30D3F"/>
    <w:rsid w:val="28DC2754"/>
    <w:rsid w:val="2A4F1A4F"/>
    <w:rsid w:val="2C10138F"/>
    <w:rsid w:val="2C3B7CFA"/>
    <w:rsid w:val="2D982304"/>
    <w:rsid w:val="316F096E"/>
    <w:rsid w:val="346176BE"/>
    <w:rsid w:val="3872190C"/>
    <w:rsid w:val="3A6E5871"/>
    <w:rsid w:val="3B185E08"/>
    <w:rsid w:val="3BB865B6"/>
    <w:rsid w:val="3C4C4026"/>
    <w:rsid w:val="3DC12361"/>
    <w:rsid w:val="3EB278FA"/>
    <w:rsid w:val="3F547660"/>
    <w:rsid w:val="40DA6E6B"/>
    <w:rsid w:val="416D1BF0"/>
    <w:rsid w:val="41C8743D"/>
    <w:rsid w:val="428325C4"/>
    <w:rsid w:val="43324193"/>
    <w:rsid w:val="43975E08"/>
    <w:rsid w:val="43BF27FD"/>
    <w:rsid w:val="48424ABA"/>
    <w:rsid w:val="498045B6"/>
    <w:rsid w:val="49E02DB8"/>
    <w:rsid w:val="4EFB66F0"/>
    <w:rsid w:val="4F3F3632"/>
    <w:rsid w:val="4F6603AB"/>
    <w:rsid w:val="5090586F"/>
    <w:rsid w:val="50F10148"/>
    <w:rsid w:val="512F6A58"/>
    <w:rsid w:val="514C4527"/>
    <w:rsid w:val="51F136FB"/>
    <w:rsid w:val="52D41ACF"/>
    <w:rsid w:val="53156131"/>
    <w:rsid w:val="53965D32"/>
    <w:rsid w:val="54420FAB"/>
    <w:rsid w:val="547D0E29"/>
    <w:rsid w:val="56902255"/>
    <w:rsid w:val="585E6CB6"/>
    <w:rsid w:val="5960517A"/>
    <w:rsid w:val="59617D56"/>
    <w:rsid w:val="596C70D1"/>
    <w:rsid w:val="59D41F8A"/>
    <w:rsid w:val="5D731A30"/>
    <w:rsid w:val="5D7E2A80"/>
    <w:rsid w:val="5DFD01A5"/>
    <w:rsid w:val="61346714"/>
    <w:rsid w:val="62775F41"/>
    <w:rsid w:val="62C24AB1"/>
    <w:rsid w:val="65595E2E"/>
    <w:rsid w:val="66024766"/>
    <w:rsid w:val="6703252B"/>
    <w:rsid w:val="691E365F"/>
    <w:rsid w:val="69233A11"/>
    <w:rsid w:val="69E73C66"/>
    <w:rsid w:val="69F272B9"/>
    <w:rsid w:val="6AC11246"/>
    <w:rsid w:val="6B753F71"/>
    <w:rsid w:val="6C475073"/>
    <w:rsid w:val="6C7C70A6"/>
    <w:rsid w:val="6CF53F96"/>
    <w:rsid w:val="6E636B17"/>
    <w:rsid w:val="6F801DF1"/>
    <w:rsid w:val="6FDF864A"/>
    <w:rsid w:val="708A1A5A"/>
    <w:rsid w:val="708F7E6E"/>
    <w:rsid w:val="730B4C41"/>
    <w:rsid w:val="73465C7A"/>
    <w:rsid w:val="75306633"/>
    <w:rsid w:val="7645046A"/>
    <w:rsid w:val="782A7DF8"/>
    <w:rsid w:val="78D51088"/>
    <w:rsid w:val="7A7F28DC"/>
    <w:rsid w:val="7B014BE7"/>
    <w:rsid w:val="7B625564"/>
    <w:rsid w:val="7BB14121"/>
    <w:rsid w:val="7BEA37A4"/>
    <w:rsid w:val="7CC451BA"/>
    <w:rsid w:val="7DD87E16"/>
    <w:rsid w:val="7E0E440A"/>
    <w:rsid w:val="7FE8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kern w:val="44"/>
      <w:sz w:val="38"/>
    </w:rPr>
  </w:style>
  <w:style w:type="paragraph" w:styleId="3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Plain Text"/>
    <w:basedOn w:val="1"/>
    <w:link w:val="25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4"/>
    <w:unhideWhenUsed/>
    <w:qFormat/>
    <w:uiPriority w:val="99"/>
    <w:rPr>
      <w:b/>
      <w:bCs/>
    </w:rPr>
  </w:style>
  <w:style w:type="character" w:styleId="13">
    <w:name w:val="page number"/>
    <w:qFormat/>
    <w:uiPriority w:val="0"/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unhideWhenUsed/>
    <w:qFormat/>
    <w:uiPriority w:val="0"/>
    <w:rPr>
      <w:sz w:val="21"/>
      <w:szCs w:val="21"/>
    </w:rPr>
  </w:style>
  <w:style w:type="character" w:customStyle="1" w:styleId="17">
    <w:name w:val="标题 3 Char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8">
    <w:name w:val="批注文字 Char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纯文本 Char"/>
    <w:qFormat/>
    <w:uiPriority w:val="0"/>
    <w:rPr>
      <w:rFonts w:ascii="宋体" w:hAnsi="Courier New" w:eastAsia="宋体" w:cs="Courier New"/>
      <w:szCs w:val="21"/>
    </w:rPr>
  </w:style>
  <w:style w:type="character" w:customStyle="1" w:styleId="20">
    <w:name w:val="日期 Char"/>
    <w:link w:val="6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1">
    <w:name w:val="批注框文本 Char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link w:val="8"/>
    <w:semiHidden/>
    <w:qFormat/>
    <w:uiPriority w:val="99"/>
    <w:rPr>
      <w:sz w:val="18"/>
      <w:szCs w:val="18"/>
    </w:rPr>
  </w:style>
  <w:style w:type="character" w:customStyle="1" w:styleId="23">
    <w:name w:val="页眉 Char"/>
    <w:link w:val="9"/>
    <w:semiHidden/>
    <w:qFormat/>
    <w:uiPriority w:val="99"/>
    <w:rPr>
      <w:sz w:val="18"/>
      <w:szCs w:val="18"/>
    </w:rPr>
  </w:style>
  <w:style w:type="character" w:customStyle="1" w:styleId="24">
    <w:name w:val="批注主题 Char"/>
    <w:link w:val="10"/>
    <w:semiHidden/>
    <w:qFormat/>
    <w:uiPriority w:val="99"/>
    <w:rPr>
      <w:b/>
      <w:bCs/>
    </w:rPr>
  </w:style>
  <w:style w:type="character" w:customStyle="1" w:styleId="25">
    <w:name w:val="纯文本 Char1"/>
    <w:link w:val="5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26">
    <w:name w:val="公文"/>
    <w:basedOn w:val="1"/>
    <w:qFormat/>
    <w:uiPriority w:val="0"/>
    <w:pPr>
      <w:widowControl/>
      <w:adjustRightInd w:val="0"/>
      <w:snapToGrid w:val="0"/>
      <w:spacing w:beforeLines="25" w:afterLines="35"/>
      <w:ind w:firstLine="200" w:firstLineChars="200"/>
      <w:jc w:val="left"/>
    </w:pPr>
    <w:rPr>
      <w:rFonts w:ascii="仿宋_GB2312" w:eastAsia="仿宋_GB2312"/>
      <w:bCs/>
      <w:kern w:val="0"/>
      <w:sz w:val="32"/>
    </w:rPr>
  </w:style>
  <w:style w:type="paragraph" w:customStyle="1" w:styleId="27">
    <w:name w:val="表格"/>
    <w:basedOn w:val="1"/>
    <w:qFormat/>
    <w:uiPriority w:val="0"/>
    <w:pPr>
      <w:adjustRightInd w:val="0"/>
      <w:snapToGrid w:val="0"/>
      <w:jc w:val="center"/>
    </w:pPr>
    <w:rPr>
      <w:rFonts w:ascii="仿宋_GB2312" w:hAnsi="Times New Roman"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8</Pages>
  <Words>2638</Words>
  <Characters>4103</Characters>
  <Lines>61</Lines>
  <Paragraphs>17</Paragraphs>
  <TotalTime>12</TotalTime>
  <ScaleCrop>false</ScaleCrop>
  <LinksUpToDate>false</LinksUpToDate>
  <CharactersWithSpaces>4241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2022-03-16T21:20:00Z</dcterms:created>
  <dc:creator>周怡</dc:creator>
  <cp:lastModifiedBy>李文湘</cp:lastModifiedBy>
  <dcterms:modified xsi:type="dcterms:W3CDTF">2025-08-13T01:41:59Z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108C2D9E98A24323B84E3CBCC5B90AA0</vt:lpwstr>
  </property>
  <property fmtid="{D5CDD505-2E9C-101B-9397-08002B2CF9AE}" pid="4" name="KSOTemplateDocerSaveRecord">
    <vt:lpwstr>eyJoZGlkIjoiODg3NDRmOWVmMjUzYmMzNDZlMTljM2FhMzcxMTNiNjciLCJ1c2VySWQiOiIxMzEyOTc0NjE0In0=</vt:lpwstr>
  </property>
</Properties>
</file>