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汕尾市防火门产品质量监督抽查实施细则</w:t>
      </w:r>
    </w:p>
    <w:p>
      <w:pPr>
        <w:autoSpaceDE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w:t>
      </w:r>
      <w:r>
        <w:rPr>
          <w:rFonts w:hint="eastAsia" w:ascii="方正小标宋简体" w:hAnsi="方正小标宋简体" w:eastAsia="方正小标宋简体" w:cs="方正小标宋简体"/>
          <w:sz w:val="44"/>
          <w:szCs w:val="44"/>
          <w:lang w:bidi="ar"/>
        </w:rPr>
        <w:t>2025</w:t>
      </w:r>
      <w:r>
        <w:rPr>
          <w:rFonts w:hint="eastAsia" w:ascii="方正小标宋简体" w:hAnsi="方正小标宋简体" w:eastAsia="方正小标宋简体" w:cs="方正小标宋简体"/>
          <w:sz w:val="44"/>
          <w:szCs w:val="44"/>
          <w:lang w:bidi="ar"/>
        </w:rPr>
        <w:t>年版）</w:t>
      </w:r>
    </w:p>
    <w:p>
      <w:pPr>
        <w:keepNext w:val="0"/>
        <w:keepLines w:val="0"/>
        <w:pageBreakBefore w:val="0"/>
        <w:widowControl w:val="0"/>
        <w:kinsoku/>
        <w:wordWrap/>
        <w:overflowPunct/>
        <w:topLinePunct w:val="0"/>
        <w:autoSpaceDE w:val="0"/>
        <w:autoSpaceDN/>
        <w:bidi w:val="0"/>
        <w:adjustRightInd/>
        <w:spacing w:line="56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bidi="ar"/>
        </w:rPr>
        <w:t xml:space="preserve"> </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rPr>
          <w:rFonts w:hint="eastAsia" w:ascii="黑体" w:hAnsi="黑体" w:eastAsia="黑体" w:cs="黑体"/>
          <w:szCs w:val="32"/>
        </w:rPr>
      </w:pPr>
      <w:r>
        <w:rPr>
          <w:rFonts w:hint="eastAsia" w:ascii="黑体" w:hAnsi="黑体" w:eastAsia="黑体" w:cs="黑体"/>
          <w:szCs w:val="32"/>
          <w:lang w:bidi="ar"/>
        </w:rPr>
        <w:t>1 抽样方法</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bidi="ar"/>
        </w:rPr>
        <w:t>以随机抽样的方式在被抽样生产者、销售者的待销产品中抽取。</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szCs w:val="32"/>
          <w:lang w:bidi="ar"/>
        </w:rPr>
      </w:pPr>
      <w:r>
        <w:rPr>
          <w:rFonts w:hint="eastAsia" w:ascii="仿宋_GB2312" w:hAnsi="仿宋_GB2312" w:eastAsia="仿宋_GB2312" w:cs="仿宋_GB2312"/>
          <w:szCs w:val="32"/>
          <w:lang w:bidi="ar"/>
        </w:rPr>
        <w:t>随机数一般可使用随机数表等方法产生。</w:t>
      </w:r>
    </w:p>
    <w:p>
      <w:pPr>
        <w:keepNext w:val="0"/>
        <w:keepLines w:val="0"/>
        <w:pageBreakBefore w:val="0"/>
        <w:widowControl w:val="0"/>
        <w:kinsoku/>
        <w:wordWrap/>
        <w:overflowPunct/>
        <w:topLinePunct w:val="0"/>
        <w:autoSpaceDE w:val="0"/>
        <w:autoSpaceDN/>
        <w:bidi w:val="0"/>
        <w:adjustRightInd/>
        <w:snapToGrid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bidi="ar"/>
        </w:rPr>
        <w:t>每批次产品抽取样品</w:t>
      </w:r>
      <w:r>
        <w:rPr>
          <w:rFonts w:hint="eastAsia" w:ascii="仿宋_GB2312" w:hAnsi="仿宋_GB2312" w:eastAsia="仿宋_GB2312" w:cs="仿宋_GB2312"/>
          <w:color w:val="000000"/>
          <w:szCs w:val="32"/>
        </w:rPr>
        <w:t>2樘</w:t>
      </w:r>
      <w:r>
        <w:rPr>
          <w:rFonts w:hint="eastAsia" w:ascii="仿宋_GB2312" w:hAnsi="仿宋_GB2312" w:eastAsia="仿宋_GB2312" w:cs="仿宋_GB2312"/>
          <w:szCs w:val="32"/>
          <w:lang w:bidi="ar"/>
        </w:rPr>
        <w:t>，</w:t>
      </w:r>
      <w:r>
        <w:rPr>
          <w:rFonts w:hint="eastAsia" w:ascii="仿宋_GB2312" w:hAnsi="仿宋_GB2312" w:eastAsia="仿宋_GB2312" w:cs="仿宋_GB2312"/>
          <w:color w:val="000000"/>
          <w:szCs w:val="32"/>
        </w:rPr>
        <w:t>第1樘用于检验，第2樘用于备样</w:t>
      </w:r>
      <w:r>
        <w:rPr>
          <w:rFonts w:hint="eastAsia" w:ascii="仿宋_GB2312" w:hAnsi="仿宋_GB2312" w:eastAsia="仿宋_GB2312" w:cs="仿宋_GB2312"/>
          <w:szCs w:val="32"/>
          <w:lang w:bidi="ar"/>
        </w:rPr>
        <w:t>。</w:t>
      </w:r>
    </w:p>
    <w:p>
      <w:pPr>
        <w:autoSpaceDE w:val="0"/>
        <w:spacing w:line="560" w:lineRule="exact"/>
        <w:ind w:firstLine="640" w:firstLineChars="200"/>
        <w:rPr>
          <w:rFonts w:hint="eastAsia" w:ascii="黑体" w:hAnsi="黑体" w:eastAsia="黑体" w:cs="黑体"/>
          <w:szCs w:val="32"/>
        </w:rPr>
      </w:pPr>
      <w:r>
        <w:rPr>
          <w:rFonts w:hint="eastAsia" w:ascii="黑体" w:hAnsi="黑体" w:eastAsia="黑体" w:cs="黑体"/>
          <w:szCs w:val="32"/>
          <w:lang w:bidi="ar"/>
        </w:rPr>
        <w:t>2 检验依据</w:t>
      </w:r>
    </w:p>
    <w:tbl>
      <w:tblPr>
        <w:tblStyle w:val="5"/>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3785"/>
        <w:gridCol w:w="3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40" w:lineRule="exact"/>
              <w:jc w:val="center"/>
              <w:rPr>
                <w:rFonts w:cs="仿宋_GB2312"/>
                <w:b/>
                <w:bCs/>
                <w:kern w:val="0"/>
                <w:sz w:val="28"/>
                <w:szCs w:val="28"/>
              </w:rPr>
            </w:pPr>
            <w:r>
              <w:rPr>
                <w:rFonts w:hint="eastAsia" w:cs="仿宋_GB2312"/>
                <w:b/>
                <w:bCs/>
                <w:kern w:val="0"/>
                <w:sz w:val="28"/>
                <w:szCs w:val="28"/>
              </w:rPr>
              <w:t>序号</w:t>
            </w:r>
          </w:p>
        </w:tc>
        <w:tc>
          <w:tcPr>
            <w:tcW w:w="3785"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40" w:lineRule="exact"/>
              <w:jc w:val="center"/>
              <w:rPr>
                <w:rFonts w:cs="仿宋_GB2312"/>
                <w:b/>
                <w:bCs/>
                <w:kern w:val="0"/>
                <w:sz w:val="28"/>
                <w:szCs w:val="28"/>
              </w:rPr>
            </w:pPr>
            <w:r>
              <w:rPr>
                <w:rFonts w:hint="eastAsia" w:cs="仿宋_GB2312"/>
                <w:b/>
                <w:bCs/>
                <w:kern w:val="0"/>
                <w:sz w:val="28"/>
                <w:szCs w:val="28"/>
              </w:rPr>
              <w:t>检验项目</w:t>
            </w:r>
          </w:p>
        </w:tc>
        <w:tc>
          <w:tcPr>
            <w:tcW w:w="3639"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40" w:lineRule="exact"/>
              <w:jc w:val="center"/>
              <w:rPr>
                <w:rFonts w:cs="仿宋_GB2312"/>
                <w:b/>
                <w:bCs/>
                <w:kern w:val="0"/>
                <w:sz w:val="28"/>
                <w:szCs w:val="28"/>
              </w:rPr>
            </w:pPr>
            <w:r>
              <w:rPr>
                <w:rFonts w:hint="eastAsia" w:cs="仿宋_GB2312"/>
                <w:b/>
                <w:bCs/>
                <w:kern w:val="0"/>
                <w:sz w:val="28"/>
                <w:szCs w:val="2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autoSpaceDE w:val="0"/>
              <w:spacing w:line="340" w:lineRule="exact"/>
              <w:jc w:val="center"/>
              <w:rPr>
                <w:rFonts w:cs="仿宋_GB2312"/>
                <w:kern w:val="0"/>
                <w:sz w:val="28"/>
                <w:szCs w:val="28"/>
              </w:rPr>
            </w:pPr>
            <w:r>
              <w:rPr>
                <w:rFonts w:hint="eastAsia" w:cs="仿宋_GB2312"/>
                <w:kern w:val="0"/>
                <w:sz w:val="28"/>
                <w:szCs w:val="28"/>
              </w:rPr>
              <w:t>1</w:t>
            </w:r>
          </w:p>
        </w:tc>
        <w:tc>
          <w:tcPr>
            <w:tcW w:w="3785" w:type="dxa"/>
            <w:tcBorders>
              <w:top w:val="single" w:color="auto" w:sz="4" w:space="0"/>
              <w:left w:val="single" w:color="auto" w:sz="4" w:space="0"/>
              <w:bottom w:val="single" w:color="auto" w:sz="4" w:space="0"/>
              <w:right w:val="single" w:color="auto" w:sz="4" w:space="0"/>
            </w:tcBorders>
            <w:vAlign w:val="center"/>
          </w:tcPr>
          <w:p>
            <w:pPr>
              <w:autoSpaceDE w:val="0"/>
              <w:spacing w:line="560" w:lineRule="exact"/>
              <w:jc w:val="center"/>
              <w:rPr>
                <w:rFonts w:cs="仿宋_GB2312"/>
                <w:kern w:val="0"/>
                <w:sz w:val="28"/>
                <w:szCs w:val="28"/>
              </w:rPr>
            </w:pPr>
            <w:r>
              <w:rPr>
                <w:rFonts w:hint="eastAsia" w:cs="仿宋_GB2312"/>
                <w:kern w:val="0"/>
                <w:sz w:val="28"/>
                <w:szCs w:val="28"/>
              </w:rPr>
              <w:t>耐火性能</w:t>
            </w:r>
          </w:p>
        </w:tc>
        <w:tc>
          <w:tcPr>
            <w:tcW w:w="3639" w:type="dxa"/>
            <w:tcBorders>
              <w:top w:val="single" w:color="auto" w:sz="4" w:space="0"/>
              <w:left w:val="single" w:color="auto" w:sz="4" w:space="0"/>
              <w:bottom w:val="single" w:color="auto" w:sz="4" w:space="0"/>
              <w:right w:val="single" w:color="auto" w:sz="4" w:space="0"/>
            </w:tcBorders>
            <w:vAlign w:val="center"/>
          </w:tcPr>
          <w:p>
            <w:pPr>
              <w:autoSpaceDE w:val="0"/>
              <w:spacing w:line="340" w:lineRule="exact"/>
              <w:jc w:val="center"/>
              <w:rPr>
                <w:rFonts w:cs="仿宋_GB2312"/>
                <w:kern w:val="0"/>
                <w:sz w:val="28"/>
                <w:szCs w:val="28"/>
              </w:rPr>
            </w:pPr>
            <w:r>
              <w:rPr>
                <w:rFonts w:hint="eastAsia" w:cs="仿宋_GB2312"/>
                <w:kern w:val="0"/>
                <w:sz w:val="28"/>
                <w:szCs w:val="28"/>
              </w:rPr>
              <w:t xml:space="preserve">GB 12955-2008 </w:t>
            </w:r>
            <w:r>
              <w:rPr>
                <w:rFonts w:cs="仿宋_GB2312"/>
                <w:kern w:val="0"/>
                <w:sz w:val="28"/>
                <w:szCs w:val="28"/>
              </w:rPr>
              <w:t>6.12</w:t>
            </w:r>
            <w:r>
              <w:rPr>
                <w:rFonts w:hint="eastAsia" w:cs="仿宋_GB2312"/>
                <w:kern w:val="0"/>
                <w:sz w:val="28"/>
                <w:szCs w:val="28"/>
              </w:rPr>
              <w:t>条款</w:t>
            </w:r>
          </w:p>
        </w:tc>
      </w:tr>
    </w:tbl>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仿宋_GB2312" w:eastAsia="仿宋_GB2312" w:cs="仿宋_GB2312"/>
          <w:szCs w:val="32"/>
          <w:lang w:bidi="ar"/>
        </w:rPr>
      </w:pPr>
      <w:r>
        <w:rPr>
          <w:rFonts w:hint="eastAsia" w:ascii="仿宋_GB2312" w:hAnsi="仿宋_GB2312" w:eastAsia="仿宋_GB2312" w:cs="仿宋_GB2312"/>
          <w:kern w:val="0"/>
          <w:szCs w:val="32"/>
        </w:rPr>
        <w:t>注：防火门应含框，附件齐全，如现场抽样无框，则需生产企业补齐框后进行检测。防火门样品最大尺寸为2.5m×2.5m。</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bidi="ar"/>
        </w:rPr>
        <w:t>执行企业标准、团体标准、地方标准的产品，检验项目参照上述内容执行。</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bidi="ar"/>
        </w:rPr>
        <w:t>凡是注日期的文件，其随后所有的修改单（不包括</w:t>
      </w:r>
      <w:bookmarkStart w:id="0" w:name="_GoBack"/>
      <w:bookmarkEnd w:id="0"/>
      <w:r>
        <w:rPr>
          <w:rFonts w:hint="eastAsia" w:ascii="仿宋_GB2312" w:hAnsi="仿宋_GB2312" w:eastAsia="仿宋_GB2312" w:cs="仿宋_GB2312"/>
          <w:szCs w:val="32"/>
          <w:lang w:bidi="ar"/>
        </w:rPr>
        <w:t>勘误的内容）或修订版不适用于本细则。凡是不注日期的文件，其最新版本适用于本细则。</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黑体" w:hAnsi="黑体" w:eastAsia="黑体" w:cs="黑体"/>
          <w:szCs w:val="32"/>
        </w:rPr>
      </w:pPr>
      <w:r>
        <w:rPr>
          <w:rFonts w:hint="eastAsia" w:ascii="黑体" w:hAnsi="黑体" w:eastAsia="黑体" w:cs="黑体"/>
          <w:szCs w:val="32"/>
          <w:lang w:bidi="ar"/>
        </w:rPr>
        <w:t>3 判定规则</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楷体" w:hAnsi="楷体" w:eastAsia="楷体" w:cs="楷体"/>
          <w:szCs w:val="32"/>
        </w:rPr>
      </w:pPr>
      <w:r>
        <w:rPr>
          <w:rFonts w:hint="eastAsia" w:ascii="楷体" w:hAnsi="楷体" w:eastAsia="楷体" w:cs="楷体"/>
          <w:szCs w:val="32"/>
          <w:lang w:bidi="ar"/>
        </w:rPr>
        <w:t>3.1 依据标准</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Cs w:val="32"/>
          <w:lang w:bidi="ar"/>
        </w:rPr>
      </w:pPr>
      <w:r>
        <w:rPr>
          <w:rFonts w:hint="eastAsia" w:ascii="仿宋_GB2312" w:hAnsi="仿宋_GB2312" w:eastAsia="仿宋_GB2312" w:cs="仿宋_GB2312"/>
          <w:szCs w:val="32"/>
          <w:lang w:bidi="ar"/>
        </w:rPr>
        <w:t>GB 12955-2008 防火门</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bidi="ar"/>
        </w:rPr>
        <w:t>现行有效的企业标准、团体标准、地方标准及产品明示质量要求</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楷体" w:hAnsi="楷体" w:eastAsia="楷体" w:cs="楷体"/>
          <w:szCs w:val="32"/>
        </w:rPr>
      </w:pPr>
      <w:r>
        <w:rPr>
          <w:rFonts w:hint="eastAsia" w:ascii="楷体" w:hAnsi="楷体" w:eastAsia="楷体" w:cs="楷体"/>
          <w:szCs w:val="32"/>
          <w:lang w:bidi="ar"/>
        </w:rPr>
        <w:t>3.2 判定原则</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bidi="ar"/>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bidi="ar"/>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bidi="ar"/>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bidi="ar"/>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bidi="ar"/>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bidi="ar"/>
        </w:rPr>
        <w:t>若被检产品明示的质量要求缺少本细则中检验项目依据的推荐性标准要求时，该项目不参与判定。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8E45B9"/>
    <w:rsid w:val="00417491"/>
    <w:rsid w:val="004C101A"/>
    <w:rsid w:val="004D7B2E"/>
    <w:rsid w:val="005C619D"/>
    <w:rsid w:val="006B4226"/>
    <w:rsid w:val="0099534D"/>
    <w:rsid w:val="009F1AFA"/>
    <w:rsid w:val="00CE18ED"/>
    <w:rsid w:val="438E45B9"/>
    <w:rsid w:val="68230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uiPriority w:val="0"/>
    <w:rPr>
      <w:sz w:val="21"/>
      <w:szCs w:val="21"/>
    </w:rPr>
  </w:style>
  <w:style w:type="character" w:customStyle="1" w:styleId="8">
    <w:name w:val="页眉 字符"/>
    <w:basedOn w:val="6"/>
    <w:link w:val="4"/>
    <w:uiPriority w:val="0"/>
    <w:rPr>
      <w:rFonts w:ascii="Times New Roman" w:hAnsi="Times New Roman" w:eastAsia="仿宋_GB2312" w:cs="Times New Roman"/>
      <w:kern w:val="2"/>
      <w:sz w:val="18"/>
      <w:szCs w:val="18"/>
    </w:rPr>
  </w:style>
  <w:style w:type="character" w:customStyle="1" w:styleId="9">
    <w:name w:val="页脚 字符"/>
    <w:basedOn w:val="6"/>
    <w:link w:val="3"/>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Words>
  <Characters>593</Characters>
  <Lines>4</Lines>
  <Paragraphs>1</Paragraphs>
  <TotalTime>11</TotalTime>
  <ScaleCrop>false</ScaleCrop>
  <LinksUpToDate>false</LinksUpToDate>
  <CharactersWithSpaces>695</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2025-07-03T01:11:00Z</dcterms:created>
  <dc:creator>王华燕</dc:creator>
  <cp:lastModifiedBy>李文湘</cp:lastModifiedBy>
  <dcterms:modified xsi:type="dcterms:W3CDTF">2025-08-13T01:45:33Z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4D540C6847B148D89E17CBDAAF7799D3_11</vt:lpwstr>
  </property>
  <property fmtid="{D5CDD505-2E9C-101B-9397-08002B2CF9AE}" pid="4" name="KSOTemplateDocerSaveRecord">
    <vt:lpwstr>eyJoZGlkIjoiZDRiYjVjNWI5MzAzZTZmMWUwMWJlOWMwMWQxNmZkMjMiLCJ1c2VySWQiOiIxNDU1NzgxMzYwIn0=</vt:lpwstr>
  </property>
</Properties>
</file>