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汕尾市鞋类产品质量监督抽查实施细则</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楷体_GB2312" w:cs="楷体_GB2312"/>
          <w:kern w:val="2"/>
          <w:sz w:val="28"/>
          <w:szCs w:val="28"/>
        </w:rPr>
      </w:pPr>
      <w:r>
        <w:rPr>
          <w:rFonts w:hint="eastAsia" w:ascii="方正小标宋简体" w:hAnsi="方正小标宋简体" w:eastAsia="方正小标宋简体" w:cs="方正小标宋简体"/>
          <w:kern w:val="2"/>
          <w:sz w:val="44"/>
          <w:szCs w:val="44"/>
          <w:lang w:val="en-US" w:eastAsia="zh-CN" w:bidi="ar"/>
        </w:rPr>
        <w:t>（</w:t>
      </w:r>
      <w:r>
        <w:rPr>
          <w:rFonts w:hint="eastAsia" w:ascii="方正小标宋简体" w:hAnsi="方正小标宋简体" w:eastAsia="方正小标宋简体" w:cs="方正小标宋简体"/>
          <w:kern w:val="2"/>
          <w:sz w:val="44"/>
          <w:szCs w:val="44"/>
          <w:lang w:val="en-US" w:eastAsia="zh-CN" w:bidi="ar"/>
        </w:rPr>
        <w:t>2025</w:t>
      </w:r>
      <w:r>
        <w:rPr>
          <w:rFonts w:hint="eastAsia" w:ascii="方正小标宋简体" w:hAnsi="方正小标宋简体" w:eastAsia="方正小标宋简体" w:cs="方正小标宋简体"/>
          <w:kern w:val="2"/>
          <w:sz w:val="44"/>
          <w:szCs w:val="44"/>
          <w:lang w:val="en-US" w:eastAsia="zh-CN" w:bidi="ar"/>
        </w:rPr>
        <w:t>年版）</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1 抽样方法</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以随机抽样的方式在被抽样生产者、销售者的待销产品中抽取。</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随机数一般可使用随机数表等方法产生。</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每批次抽样数量3双，其中2双作为检验样品，1双作为备用样品。</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2 检验依据</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2.1旅游鞋</w:t>
      </w:r>
    </w:p>
    <w:tbl>
      <w:tblPr>
        <w:tblStyle w:val="3"/>
        <w:tblW w:w="8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3724"/>
        <w:gridCol w:w="3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序号</w:t>
            </w:r>
          </w:p>
        </w:tc>
        <w:tc>
          <w:tcPr>
            <w:tcW w:w="372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检验项目</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w:t>
            </w:r>
          </w:p>
        </w:tc>
        <w:tc>
          <w:tcPr>
            <w:tcW w:w="372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帮底剥离强度或</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底墙与帮面剥离强度</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3903.3</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2</w:t>
            </w:r>
          </w:p>
        </w:tc>
        <w:tc>
          <w:tcPr>
            <w:tcW w:w="372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成鞋耐折性能</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3</w:t>
            </w:r>
          </w:p>
        </w:tc>
        <w:tc>
          <w:tcPr>
            <w:tcW w:w="372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外底耐磨性能</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4</w:t>
            </w:r>
          </w:p>
        </w:tc>
        <w:tc>
          <w:tcPr>
            <w:tcW w:w="372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外底与外中底粘合强度</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2886</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5</w:t>
            </w:r>
          </w:p>
        </w:tc>
        <w:tc>
          <w:tcPr>
            <w:tcW w:w="372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可分解致癌芳香胺染料</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17592—2011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19942—2005</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6</w:t>
            </w:r>
          </w:p>
        </w:tc>
        <w:tc>
          <w:tcPr>
            <w:tcW w:w="372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游离或可部分水解的甲醛</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2912.1—2009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7</w:t>
            </w:r>
          </w:p>
        </w:tc>
        <w:tc>
          <w:tcPr>
            <w:tcW w:w="372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可分解致癌芳香胺染料</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17592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23344—2009</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33392—2016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8</w:t>
            </w:r>
          </w:p>
        </w:tc>
        <w:tc>
          <w:tcPr>
            <w:tcW w:w="3724"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甲醛</w:t>
            </w:r>
          </w:p>
        </w:tc>
        <w:tc>
          <w:tcPr>
            <w:tcW w:w="381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2912.1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19941.1</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47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both"/>
              <w:rPr>
                <w:rFonts w:hint="default"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注：1.明示生产日期为 2025年 6 月 1 日之前的产品按序号1-6项目检测。</w:t>
            </w:r>
          </w:p>
          <w:p>
            <w:pPr>
              <w:keepNext w:val="0"/>
              <w:keepLines w:val="0"/>
              <w:widowControl w:val="0"/>
              <w:suppressLineNumbers w:val="0"/>
              <w:autoSpaceDE w:val="0"/>
              <w:autoSpaceDN/>
              <w:spacing w:before="0" w:beforeAutospacing="0" w:after="0" w:afterAutospacing="0" w:line="240" w:lineRule="auto"/>
              <w:ind w:left="0" w:right="0" w:firstLine="400" w:firstLineChars="200"/>
              <w:jc w:val="both"/>
              <w:rPr>
                <w:rFonts w:hint="default" w:ascii="Times New Roman" w:hAnsi="Times New Roman" w:eastAsia="仿宋_GB2312" w:cs="Times New Roman"/>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2.明示生产日期为 2025年 6 月 1 日及之后的产品按序号1-4及序号7-</w:t>
            </w:r>
            <w:r>
              <w:rPr>
                <w:rFonts w:hint="eastAsia" w:ascii="仿宋_GB2312" w:hAnsi="Times New Roman" w:cs="仿宋_GB2312"/>
                <w:color w:val="000000"/>
                <w:kern w:val="2"/>
                <w:sz w:val="20"/>
                <w:szCs w:val="20"/>
                <w:lang w:val="en-US" w:eastAsia="zh-CN" w:bidi="ar"/>
              </w:rPr>
              <w:t>8</w:t>
            </w:r>
            <w:r>
              <w:rPr>
                <w:rFonts w:hint="eastAsia" w:ascii="仿宋_GB2312" w:hAnsi="Times New Roman" w:eastAsia="仿宋_GB2312" w:cs="仿宋_GB2312"/>
                <w:color w:val="000000"/>
                <w:kern w:val="2"/>
                <w:sz w:val="20"/>
                <w:szCs w:val="20"/>
                <w:lang w:val="en-US" w:eastAsia="zh-CN" w:bidi="ar"/>
              </w:rPr>
              <w:t>项目检测。</w:t>
            </w:r>
          </w:p>
        </w:tc>
      </w:tr>
    </w:tbl>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2.2皮凉鞋</w:t>
      </w:r>
    </w:p>
    <w:tbl>
      <w:tblPr>
        <w:tblStyle w:val="3"/>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4200"/>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序号</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检验项目</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帮底剥离强度</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3903.3</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2</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帮带拉出强度</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22756</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3</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耐折性能</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20991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2007 8.4.1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4</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外底耐磨性能</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5</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鞋跟结合力</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11413</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6</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成型底鞋跟硬度</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3903.4</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7</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衬里和内垫材料的耐摩擦色牢度</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2882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2007 A</w:t>
            </w:r>
            <w:r>
              <w:rPr>
                <w:rFonts w:hint="eastAsia" w:ascii="仿宋_GB2312" w:hAnsi="Times New Roman" w:eastAsia="仿宋_GB2312" w:cs="仿宋_GB2312"/>
                <w:color w:val="000000"/>
                <w:kern w:val="2"/>
                <w:sz w:val="20"/>
                <w:szCs w:val="20"/>
                <w:lang w:val="en-US" w:eastAsia="zh-CN" w:bidi="ar"/>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8</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安装勾心或其他刚性支撑材料的要求</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22756</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9</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勾心纵向刚度</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3903.34</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10</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勾心硬度</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230.1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11</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勾心长度下限值</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28011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12</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勾心弯曲性能</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28011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13</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可分解有害芳香胺染料</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17592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23344</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19942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14</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游离或可部分水解的甲醛</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2912.1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2009</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19941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15</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可分解致癌芳香胺染料</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17592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23344—2009</w:t>
            </w:r>
          </w:p>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33392—2016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16</w:t>
            </w:r>
          </w:p>
        </w:tc>
        <w:tc>
          <w:tcPr>
            <w:tcW w:w="420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甲醛</w:t>
            </w:r>
          </w:p>
        </w:tc>
        <w:tc>
          <w:tcPr>
            <w:tcW w:w="34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2912.1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19941.1</w:t>
            </w:r>
          </w:p>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55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both"/>
              <w:rPr>
                <w:rFonts w:hint="default"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注：1.明示生产日期为 2025年 6 月 1 日之前的产品按序号1-</w:t>
            </w:r>
            <w:r>
              <w:rPr>
                <w:rFonts w:hint="eastAsia" w:ascii="仿宋_GB2312" w:hAnsi="Times New Roman" w:cs="仿宋_GB2312"/>
                <w:color w:val="000000"/>
                <w:kern w:val="2"/>
                <w:sz w:val="20"/>
                <w:szCs w:val="20"/>
                <w:lang w:val="en-US" w:eastAsia="zh-CN" w:bidi="ar"/>
              </w:rPr>
              <w:t>14</w:t>
            </w:r>
            <w:r>
              <w:rPr>
                <w:rFonts w:hint="eastAsia" w:ascii="仿宋_GB2312" w:hAnsi="Times New Roman" w:eastAsia="仿宋_GB2312" w:cs="仿宋_GB2312"/>
                <w:color w:val="000000"/>
                <w:kern w:val="2"/>
                <w:sz w:val="20"/>
                <w:szCs w:val="20"/>
                <w:lang w:val="en-US" w:eastAsia="zh-CN" w:bidi="ar"/>
              </w:rPr>
              <w:t>项目检测。</w:t>
            </w:r>
          </w:p>
          <w:p>
            <w:pPr>
              <w:keepNext w:val="0"/>
              <w:keepLines w:val="0"/>
              <w:widowControl w:val="0"/>
              <w:suppressLineNumbers w:val="0"/>
              <w:autoSpaceDE w:val="0"/>
              <w:autoSpaceDN/>
              <w:spacing w:before="0" w:beforeAutospacing="0" w:after="0" w:afterAutospacing="0" w:line="240" w:lineRule="auto"/>
              <w:ind w:left="0" w:leftChars="0" w:right="0" w:rightChars="0" w:firstLine="400" w:firstLineChars="200"/>
              <w:jc w:val="left"/>
              <w:rPr>
                <w:rFonts w:hint="eastAsia" w:ascii="Times New Roman" w:hAnsi="Times New Roman" w:eastAsia="仿宋_GB2312" w:cs="Times New Roman"/>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2.明示生产日期为 2025年 6 月 1 日及之后的产品按序号1-</w:t>
            </w:r>
            <w:r>
              <w:rPr>
                <w:rFonts w:hint="eastAsia" w:ascii="仿宋_GB2312" w:hAnsi="Times New Roman" w:cs="仿宋_GB2312"/>
                <w:color w:val="000000"/>
                <w:kern w:val="2"/>
                <w:sz w:val="20"/>
                <w:szCs w:val="20"/>
                <w:lang w:val="en-US" w:eastAsia="zh-CN" w:bidi="ar"/>
              </w:rPr>
              <w:t>12</w:t>
            </w:r>
            <w:r>
              <w:rPr>
                <w:rFonts w:hint="eastAsia" w:ascii="仿宋_GB2312" w:hAnsi="Times New Roman" w:eastAsia="仿宋_GB2312" w:cs="仿宋_GB2312"/>
                <w:color w:val="000000"/>
                <w:kern w:val="2"/>
                <w:sz w:val="20"/>
                <w:szCs w:val="20"/>
                <w:lang w:val="en-US" w:eastAsia="zh-CN" w:bidi="ar"/>
              </w:rPr>
              <w:t>及序号</w:t>
            </w:r>
            <w:r>
              <w:rPr>
                <w:rFonts w:hint="eastAsia" w:ascii="仿宋_GB2312" w:hAnsi="Times New Roman" w:cs="仿宋_GB2312"/>
                <w:color w:val="000000"/>
                <w:kern w:val="2"/>
                <w:sz w:val="20"/>
                <w:szCs w:val="20"/>
                <w:lang w:val="en-US" w:eastAsia="zh-CN" w:bidi="ar"/>
              </w:rPr>
              <w:t>15</w:t>
            </w:r>
            <w:r>
              <w:rPr>
                <w:rFonts w:hint="eastAsia" w:ascii="仿宋_GB2312" w:hAnsi="Times New Roman" w:eastAsia="仿宋_GB2312" w:cs="仿宋_GB2312"/>
                <w:color w:val="000000"/>
                <w:kern w:val="2"/>
                <w:sz w:val="20"/>
                <w:szCs w:val="20"/>
                <w:lang w:val="en-US" w:eastAsia="zh-CN" w:bidi="ar"/>
              </w:rPr>
              <w:t>-</w:t>
            </w:r>
            <w:r>
              <w:rPr>
                <w:rFonts w:hint="eastAsia" w:ascii="仿宋_GB2312" w:hAnsi="Times New Roman" w:cs="仿宋_GB2312"/>
                <w:color w:val="000000"/>
                <w:kern w:val="2"/>
                <w:sz w:val="20"/>
                <w:szCs w:val="20"/>
                <w:lang w:val="en-US" w:eastAsia="zh-CN" w:bidi="ar"/>
              </w:rPr>
              <w:t>16</w:t>
            </w:r>
            <w:r>
              <w:rPr>
                <w:rFonts w:hint="eastAsia" w:ascii="仿宋_GB2312" w:hAnsi="Times New Roman" w:eastAsia="仿宋_GB2312" w:cs="仿宋_GB2312"/>
                <w:color w:val="000000"/>
                <w:kern w:val="2"/>
                <w:sz w:val="20"/>
                <w:szCs w:val="20"/>
                <w:lang w:val="en-US" w:eastAsia="zh-CN" w:bidi="ar"/>
              </w:rPr>
              <w:t>项目检测。</w:t>
            </w:r>
          </w:p>
        </w:tc>
      </w:tr>
    </w:tbl>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2.3休闲鞋</w:t>
      </w:r>
    </w:p>
    <w:tbl>
      <w:tblPr>
        <w:tblStyle w:val="3"/>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39"/>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序号</w:t>
            </w:r>
          </w:p>
        </w:tc>
        <w:tc>
          <w:tcPr>
            <w:tcW w:w="3839"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检验项目</w:t>
            </w:r>
          </w:p>
        </w:tc>
        <w:tc>
          <w:tcPr>
            <w:tcW w:w="3969"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b/>
                <w:bCs/>
                <w:kern w:val="2"/>
                <w:sz w:val="20"/>
                <w:szCs w:val="20"/>
              </w:rPr>
            </w:pPr>
            <w:r>
              <w:rPr>
                <w:rFonts w:hint="eastAsia" w:ascii="仿宋_GB2312" w:hAnsi="Times New Roman" w:eastAsia="仿宋_GB2312" w:cs="仿宋_GB2312"/>
                <w:b/>
                <w:bCs/>
                <w:kern w:val="2"/>
                <w:sz w:val="20"/>
                <w:szCs w:val="20"/>
                <w:lang w:val="en-US" w:eastAsia="zh-CN"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1</w:t>
            </w:r>
          </w:p>
        </w:tc>
        <w:tc>
          <w:tcPr>
            <w:tcW w:w="38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耐折性能</w:t>
            </w: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2955</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3903.1</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2</w:t>
            </w:r>
          </w:p>
        </w:tc>
        <w:tc>
          <w:tcPr>
            <w:tcW w:w="38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外底耐磨性能</w:t>
            </w: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2955</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3903.2</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3</w:t>
            </w:r>
          </w:p>
        </w:tc>
        <w:tc>
          <w:tcPr>
            <w:tcW w:w="38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剥离强度</w:t>
            </w: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2955</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3903.3</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4</w:t>
            </w:r>
          </w:p>
        </w:tc>
        <w:tc>
          <w:tcPr>
            <w:tcW w:w="38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鞋帮拉出强度</w:t>
            </w: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2955</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5</w:t>
            </w:r>
          </w:p>
        </w:tc>
        <w:tc>
          <w:tcPr>
            <w:tcW w:w="38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外底与外中底粘合强度</w:t>
            </w: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GB/T 21396</w:t>
            </w:r>
            <w:r>
              <w:rPr>
                <w:rFonts w:hint="eastAsia" w:ascii="仿宋_GB2312" w:hAnsi="Times New Roman" w:eastAsia="仿宋_GB2312" w:cs="仿宋_GB2312"/>
                <w:color w:val="000000"/>
                <w:kern w:val="2"/>
                <w:sz w:val="20"/>
                <w:szCs w:val="20"/>
                <w:lang w:val="en-US" w:eastAsia="zh-CN" w:bidi="ar"/>
              </w:rPr>
              <w:t>—</w:t>
            </w:r>
            <w:r>
              <w:rPr>
                <w:rFonts w:hint="default" w:ascii="Times New Roman" w:hAnsi="Times New Roman" w:eastAsia="仿宋_GB2312" w:cs="Times New Roman"/>
                <w:color w:val="000000"/>
                <w:kern w:val="2"/>
                <w:sz w:val="20"/>
                <w:szCs w:val="20"/>
                <w:lang w:val="en-US" w:eastAsia="zh-CN" w:bidi="ar"/>
              </w:rPr>
              <w:t>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6</w:t>
            </w:r>
          </w:p>
        </w:tc>
        <w:tc>
          <w:tcPr>
            <w:tcW w:w="38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衬里和内垫摩擦色牢度</w:t>
            </w: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QB/T 2882—2007方法A</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QB/T 2955—2017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7</w:t>
            </w:r>
          </w:p>
        </w:tc>
        <w:tc>
          <w:tcPr>
            <w:tcW w:w="38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可分解有害芳香胺</w:t>
            </w: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GB/T 17592—2011</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GB/T 19942—2005</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GB/T 23344—2009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default" w:ascii="Times New Roman" w:hAnsi="Times New Roman" w:eastAsia="仿宋_GB2312" w:cs="Times New Roman"/>
                <w:color w:val="000000"/>
                <w:kern w:val="2"/>
                <w:sz w:val="20"/>
                <w:szCs w:val="20"/>
                <w:lang w:val="en-US" w:eastAsia="zh-CN" w:bidi="ar"/>
              </w:rPr>
              <w:t>8</w:t>
            </w:r>
          </w:p>
        </w:tc>
        <w:tc>
          <w:tcPr>
            <w:tcW w:w="38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仿宋_GB2312"/>
                <w:color w:val="000000"/>
                <w:kern w:val="2"/>
                <w:sz w:val="20"/>
                <w:szCs w:val="20"/>
              </w:rPr>
            </w:pPr>
            <w:r>
              <w:rPr>
                <w:rFonts w:hint="eastAsia" w:ascii="仿宋_GB2312" w:hAnsi="Times New Roman" w:eastAsia="仿宋_GB2312" w:cs="仿宋_GB2312"/>
                <w:color w:val="000000"/>
                <w:kern w:val="2"/>
                <w:sz w:val="20"/>
                <w:szCs w:val="20"/>
                <w:lang w:val="en-US" w:eastAsia="zh-CN" w:bidi="ar"/>
              </w:rPr>
              <w:t>游离或可部分水解的甲醛</w:t>
            </w: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GB/T 2912.1—2009</w:t>
            </w:r>
          </w:p>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default" w:ascii="Times New Roman" w:hAnsi="Times New Roman" w:eastAsia="仿宋_GB2312" w:cs="Times New Roman"/>
                <w:color w:val="000000"/>
                <w:kern w:val="2"/>
                <w:sz w:val="20"/>
                <w:szCs w:val="20"/>
                <w:lang w:val="en-US" w:eastAsia="zh-CN" w:bidi="ar"/>
              </w:rPr>
              <w:t>GB/T 19941—2005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3"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9</w:t>
            </w:r>
          </w:p>
        </w:tc>
        <w:tc>
          <w:tcPr>
            <w:tcW w:w="38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可分解致癌芳香胺染料</w:t>
            </w: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17592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19942</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23344—2009</w:t>
            </w:r>
          </w:p>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33392—2016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89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default" w:ascii="Times New Roman" w:hAnsi="Times New Roman" w:eastAsia="仿宋_GB2312" w:cs="Times New Roman"/>
                <w:color w:val="000000"/>
                <w:kern w:val="2"/>
                <w:sz w:val="20"/>
                <w:szCs w:val="20"/>
                <w:lang w:val="en-US" w:eastAsia="zh-CN" w:bidi="ar"/>
              </w:rPr>
            </w:pPr>
            <w:r>
              <w:rPr>
                <w:rFonts w:hint="eastAsia" w:cs="Times New Roman"/>
                <w:color w:val="000000"/>
                <w:kern w:val="2"/>
                <w:sz w:val="20"/>
                <w:szCs w:val="20"/>
                <w:lang w:val="en-US" w:eastAsia="zh-CN" w:bidi="ar"/>
              </w:rPr>
              <w:t>10</w:t>
            </w:r>
          </w:p>
        </w:tc>
        <w:tc>
          <w:tcPr>
            <w:tcW w:w="38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eastAsia"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甲醛</w:t>
            </w:r>
          </w:p>
        </w:tc>
        <w:tc>
          <w:tcPr>
            <w:tcW w:w="396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2912.1</w:t>
            </w:r>
          </w:p>
          <w:p>
            <w:pPr>
              <w:keepNext w:val="0"/>
              <w:keepLines w:val="0"/>
              <w:widowControl w:val="0"/>
              <w:suppressLineNumbers w:val="0"/>
              <w:autoSpaceDE w:val="0"/>
              <w:autoSpaceDN/>
              <w:spacing w:before="0" w:beforeAutospacing="0" w:after="0" w:afterAutospacing="0" w:line="240" w:lineRule="auto"/>
              <w:ind w:left="0" w:right="0"/>
              <w:jc w:val="center"/>
              <w:rPr>
                <w:rFonts w:hint="eastAsia"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19941.1</w:t>
            </w:r>
          </w:p>
          <w:p>
            <w:pPr>
              <w:keepNext w:val="0"/>
              <w:keepLines w:val="0"/>
              <w:widowControl w:val="0"/>
              <w:suppressLineNumbers w:val="0"/>
              <w:autoSpaceDE w:val="0"/>
              <w:autoSpaceDN/>
              <w:spacing w:before="0" w:beforeAutospacing="0" w:after="0" w:afterAutospacing="0" w:line="240" w:lineRule="auto"/>
              <w:ind w:left="0" w:leftChars="0" w:right="0" w:rightChars="0"/>
              <w:jc w:val="center"/>
              <w:rPr>
                <w:rFonts w:hint="default" w:ascii="Times New Roman" w:hAnsi="Times New Roman" w:eastAsia="仿宋_GB2312" w:cs="Times New Roman"/>
                <w:color w:val="000000"/>
                <w:kern w:val="2"/>
                <w:sz w:val="20"/>
                <w:szCs w:val="20"/>
                <w:lang w:val="en-US" w:eastAsia="zh-CN" w:bidi="ar"/>
              </w:rPr>
            </w:pPr>
            <w:r>
              <w:rPr>
                <w:rFonts w:hint="eastAsia" w:ascii="Times New Roman" w:hAnsi="Times New Roman" w:eastAsia="仿宋_GB2312" w:cs="Times New Roman"/>
                <w:color w:val="000000"/>
                <w:kern w:val="2"/>
                <w:sz w:val="20"/>
                <w:szCs w:val="20"/>
                <w:lang w:val="en-US" w:eastAsia="zh-CN" w:bidi="ar"/>
              </w:rPr>
              <w:t>GB/T 19941.2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69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40" w:lineRule="auto"/>
              <w:ind w:left="0" w:right="0"/>
              <w:jc w:val="both"/>
              <w:rPr>
                <w:rFonts w:hint="default" w:ascii="仿宋_GB2312"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注：1.明示生产日期为 2025年 6 月 1 日之前的产品按序号1-</w:t>
            </w:r>
            <w:r>
              <w:rPr>
                <w:rFonts w:hint="eastAsia" w:ascii="仿宋_GB2312" w:hAnsi="Times New Roman" w:cs="仿宋_GB2312"/>
                <w:color w:val="000000"/>
                <w:kern w:val="2"/>
                <w:sz w:val="20"/>
                <w:szCs w:val="20"/>
                <w:lang w:val="en-US" w:eastAsia="zh-CN" w:bidi="ar"/>
              </w:rPr>
              <w:t>8</w:t>
            </w:r>
            <w:r>
              <w:rPr>
                <w:rFonts w:hint="eastAsia" w:ascii="仿宋_GB2312" w:hAnsi="Times New Roman" w:eastAsia="仿宋_GB2312" w:cs="仿宋_GB2312"/>
                <w:color w:val="000000"/>
                <w:kern w:val="2"/>
                <w:sz w:val="20"/>
                <w:szCs w:val="20"/>
                <w:lang w:val="en-US" w:eastAsia="zh-CN" w:bidi="ar"/>
              </w:rPr>
              <w:t>项目检测。</w:t>
            </w:r>
          </w:p>
          <w:p>
            <w:pPr>
              <w:keepNext w:val="0"/>
              <w:keepLines w:val="0"/>
              <w:widowControl w:val="0"/>
              <w:suppressLineNumbers w:val="0"/>
              <w:autoSpaceDE w:val="0"/>
              <w:autoSpaceDN/>
              <w:spacing w:before="0" w:beforeAutospacing="0" w:after="0" w:afterAutospacing="0" w:line="240" w:lineRule="auto"/>
              <w:ind w:left="0" w:right="0" w:firstLine="400" w:firstLineChars="200"/>
              <w:jc w:val="left"/>
              <w:rPr>
                <w:rFonts w:hint="default" w:ascii="Times New Roman" w:hAnsi="Times New Roman" w:eastAsia="仿宋_GB2312" w:cs="仿宋_GB2312"/>
                <w:color w:val="000000"/>
                <w:kern w:val="2"/>
                <w:sz w:val="20"/>
                <w:szCs w:val="20"/>
                <w:lang w:val="en-US" w:eastAsia="zh-CN" w:bidi="ar"/>
              </w:rPr>
            </w:pPr>
            <w:r>
              <w:rPr>
                <w:rFonts w:hint="eastAsia" w:ascii="仿宋_GB2312" w:hAnsi="Times New Roman" w:eastAsia="仿宋_GB2312" w:cs="仿宋_GB2312"/>
                <w:color w:val="000000"/>
                <w:kern w:val="2"/>
                <w:sz w:val="20"/>
                <w:szCs w:val="20"/>
                <w:lang w:val="en-US" w:eastAsia="zh-CN" w:bidi="ar"/>
              </w:rPr>
              <w:t>2.明示生产日期为 2025年 6 月 1 日及之后的产品按序号1-</w:t>
            </w:r>
            <w:r>
              <w:rPr>
                <w:rFonts w:hint="eastAsia" w:ascii="仿宋_GB2312" w:hAnsi="Times New Roman" w:cs="仿宋_GB2312"/>
                <w:color w:val="000000"/>
                <w:kern w:val="2"/>
                <w:sz w:val="20"/>
                <w:szCs w:val="20"/>
                <w:lang w:val="en-US" w:eastAsia="zh-CN" w:bidi="ar"/>
              </w:rPr>
              <w:t>6</w:t>
            </w:r>
            <w:r>
              <w:rPr>
                <w:rFonts w:hint="eastAsia" w:ascii="仿宋_GB2312" w:hAnsi="Times New Roman" w:eastAsia="仿宋_GB2312" w:cs="仿宋_GB2312"/>
                <w:color w:val="000000"/>
                <w:kern w:val="2"/>
                <w:sz w:val="20"/>
                <w:szCs w:val="20"/>
                <w:lang w:val="en-US" w:eastAsia="zh-CN" w:bidi="ar"/>
              </w:rPr>
              <w:t>及序号</w:t>
            </w:r>
            <w:r>
              <w:rPr>
                <w:rFonts w:hint="eastAsia" w:ascii="仿宋_GB2312" w:hAnsi="Times New Roman" w:cs="仿宋_GB2312"/>
                <w:color w:val="000000"/>
                <w:kern w:val="2"/>
                <w:sz w:val="20"/>
                <w:szCs w:val="20"/>
                <w:lang w:val="en-US" w:eastAsia="zh-CN" w:bidi="ar"/>
              </w:rPr>
              <w:t>9</w:t>
            </w:r>
            <w:r>
              <w:rPr>
                <w:rFonts w:hint="eastAsia" w:ascii="仿宋_GB2312" w:hAnsi="Times New Roman" w:eastAsia="仿宋_GB2312" w:cs="仿宋_GB2312"/>
                <w:color w:val="000000"/>
                <w:kern w:val="2"/>
                <w:sz w:val="20"/>
                <w:szCs w:val="20"/>
                <w:lang w:val="en-US" w:eastAsia="zh-CN" w:bidi="ar"/>
              </w:rPr>
              <w:t>-</w:t>
            </w:r>
            <w:r>
              <w:rPr>
                <w:rFonts w:hint="eastAsia" w:ascii="仿宋_GB2312" w:hAnsi="Times New Roman" w:cs="仿宋_GB2312"/>
                <w:color w:val="000000"/>
                <w:kern w:val="2"/>
                <w:sz w:val="20"/>
                <w:szCs w:val="20"/>
                <w:lang w:val="en-US" w:eastAsia="zh-CN" w:bidi="ar"/>
              </w:rPr>
              <w:t>10</w:t>
            </w:r>
            <w:r>
              <w:rPr>
                <w:rFonts w:hint="eastAsia" w:ascii="仿宋_GB2312" w:hAnsi="Times New Roman" w:eastAsia="仿宋_GB2312" w:cs="仿宋_GB2312"/>
                <w:color w:val="000000"/>
                <w:kern w:val="2"/>
                <w:sz w:val="20"/>
                <w:szCs w:val="20"/>
                <w:lang w:val="en-US" w:eastAsia="zh-CN" w:bidi="ar"/>
              </w:rPr>
              <w:t>项目检测。</w:t>
            </w:r>
          </w:p>
        </w:tc>
      </w:tr>
    </w:tbl>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执行企业标准、团体标准、地方标准的产品，检验项目参照上述内容执行。</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凡是注日期的文件，其随后所有的修改单（不包括勘误的内容）或修订版不适用于本细则。凡是不注日期的文件，其最新版本适用于本细则。</w:t>
      </w:r>
    </w:p>
    <w:p>
      <w:pPr>
        <w:keepNext w:val="0"/>
        <w:keepLines w:val="0"/>
        <w:pageBreakBefore w:val="0"/>
        <w:widowControl w:val="0"/>
        <w:suppressLineNumbers w:val="0"/>
        <w:kinsoku/>
        <w:wordWrap/>
        <w:overflowPunct/>
        <w:topLinePunct w:val="0"/>
        <w:autoSpaceDN/>
        <w:bidi w:val="0"/>
        <w:adjustRightInd/>
        <w:snapToGrid w:val="0"/>
        <w:spacing w:before="0" w:beforeAutospacing="0" w:after="0" w:afterAutospacing="0" w:line="560" w:lineRule="exact"/>
        <w:ind w:left="0" w:right="0" w:firstLine="640" w:firstLineChars="2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
        </w:rPr>
        <w:t>3 判定规则</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3.1 依据标准</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GB 25038—2024 鞋类通用安全要求</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GB/T 15107—2013 旅游鞋（含第1号修改单）</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GB/T 22756—2017 皮凉鞋</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QB/T 2955—2017  休闲鞋</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现行有效的企业标准、团体标准、地方标准及产品明示质量要求</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楷体" w:hAnsi="楷体" w:eastAsia="楷体" w:cs="楷体"/>
          <w:kern w:val="2"/>
          <w:sz w:val="32"/>
          <w:szCs w:val="32"/>
        </w:rPr>
      </w:pPr>
      <w:r>
        <w:rPr>
          <w:rFonts w:hint="eastAsia" w:ascii="楷体" w:hAnsi="楷体" w:eastAsia="楷体" w:cs="楷体"/>
          <w:kern w:val="2"/>
          <w:sz w:val="32"/>
          <w:szCs w:val="32"/>
          <w:lang w:val="en-US" w:eastAsia="zh-CN" w:bidi="ar"/>
        </w:rPr>
        <w:t>3.2 判定原则</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经检验，检验项目全部合格，判定为被抽查产品所检项目未发现不合格；检验项目中任一项或一项以上不合格，判定为被抽查产品不合格。</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若被检产品明示的质量要求高于本细则中检验项目依据的标准要求时，应按被检产品明示的质量要求判定。</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若被检产品明示的质量要求低于本细则中检验项目依据的强制性标准要求时，应按照强</w:t>
      </w:r>
      <w:bookmarkStart w:id="0" w:name="_GoBack"/>
      <w:bookmarkEnd w:id="0"/>
      <w:r>
        <w:rPr>
          <w:rFonts w:hint="eastAsia" w:ascii="仿宋_GB2312" w:hAnsi="仿宋_GB2312" w:eastAsia="仿宋_GB2312" w:cs="仿宋_GB2312"/>
          <w:kern w:val="2"/>
          <w:sz w:val="32"/>
          <w:szCs w:val="32"/>
          <w:lang w:val="en-US" w:eastAsia="zh-CN" w:bidi="ar"/>
        </w:rPr>
        <w:t>制性标准要求判定。</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若被检产品明示的质量要求低于或包含本细则中检验项目依据的推荐性标准要求时，应以被检产品明示的质量要求判定。</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若被检产品明示的质量要求缺少本细则中检验项目依据的强制性标准要求时，应按照强制性标准要求判定。</w:t>
      </w:r>
    </w:p>
    <w:p>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bidi="ar"/>
        </w:rPr>
        <w:t>若被检产品明示的质量要求缺少本细则中检验项目依据的推荐性标准要求时，该项目不参与判定。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E45B9"/>
    <w:rsid w:val="051413A0"/>
    <w:rsid w:val="1021564D"/>
    <w:rsid w:val="12057BC2"/>
    <w:rsid w:val="238908F7"/>
    <w:rsid w:val="281A100B"/>
    <w:rsid w:val="438E4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1578</Words>
  <Characters>2639</Characters>
  <Lines>0</Lines>
  <Paragraphs>0</Paragraphs>
  <TotalTime>5</TotalTime>
  <ScaleCrop>false</ScaleCrop>
  <LinksUpToDate>false</LinksUpToDate>
  <CharactersWithSpaces>2760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2025-07-03T00:54:00Z</dcterms:created>
  <dc:creator>王华燕</dc:creator>
  <cp:lastModifiedBy>李文湘</cp:lastModifiedBy>
  <dcterms:modified xsi:type="dcterms:W3CDTF">2025-08-13T08:56:06Z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4D540C6847B148D89E17CBDAAF7799D3_11</vt:lpwstr>
  </property>
  <property fmtid="{D5CDD505-2E9C-101B-9397-08002B2CF9AE}" pid="4" name="KSOTemplateDocerSaveRecord">
    <vt:lpwstr>eyJoZGlkIjoiMWQ2Mzg1MTJmMzIwYmZlOTliODFiZGU5NzVhYjI2MmYiLCJ1c2VySWQiOiIzNTMyMTQ1NzEifQ==</vt:lpwstr>
  </property>
</Properties>
</file>