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olor w:val="FF0000"/>
        </w:rPr>
      </w:pPr>
      <w:r>
        <w:rPr>
          <w:rFonts w:ascii="Times New Roman" w:hAnsi="Times New Roman"/>
          <w:color w:val="FF0000"/>
        </w:rPr>
        <w:t xml:space="preserve"> </w:t>
      </w: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r>
        <w:rPr>
          <w:rFonts w:ascii="Times New Roman" w:hAnsi="Times New Roman"/>
          <w:color w:val="FF0000"/>
        </w:rPr>
        <w:t xml:space="preserve">                                                       </w:t>
      </w:r>
    </w:p>
    <w:p>
      <w:pPr>
        <w:rPr>
          <w:rFonts w:ascii="Times New Roman" w:hAnsi="Times New Roman"/>
          <w:color w:val="FF0000"/>
          <w:szCs w:val="21"/>
        </w:rPr>
      </w:pPr>
    </w:p>
    <w:p>
      <w:pPr>
        <w:rPr>
          <w:rFonts w:ascii="Times New Roman" w:hAnsi="Times New Roman"/>
          <w:color w:val="FF0000"/>
          <w:szCs w:val="21"/>
        </w:rPr>
      </w:pPr>
    </w:p>
    <w:p>
      <w:pPr>
        <w:adjustRightInd w:val="0"/>
        <w:snapToGrid w:val="0"/>
        <w:jc w:val="center"/>
        <w:rPr>
          <w:rFonts w:ascii="Times New Roman" w:hAnsi="Times New Roman"/>
          <w:b/>
          <w:color w:val="000000" w:themeColor="text1"/>
          <w:sz w:val="72"/>
          <w:szCs w:val="72"/>
        </w:rPr>
      </w:pPr>
      <w:r>
        <w:rPr>
          <w:rFonts w:ascii="Times New Roman" w:hAnsi="宋体"/>
          <w:b/>
          <w:color w:val="000000" w:themeColor="text1"/>
          <w:sz w:val="72"/>
          <w:szCs w:val="72"/>
        </w:rPr>
        <w:t>建设项目环境影响报告表</w:t>
      </w:r>
    </w:p>
    <w:p>
      <w:pPr>
        <w:jc w:val="center"/>
        <w:rPr>
          <w:rFonts w:ascii="Times New Roman" w:hAnsi="Times New Roman"/>
          <w:color w:val="FF0000"/>
        </w:rPr>
      </w:pPr>
      <w:r>
        <w:rPr>
          <w:rFonts w:ascii="Times New Roman" w:hAnsi="Times New Roman"/>
          <w:color w:val="FF0000"/>
        </w:rPr>
        <w:t xml:space="preserve">  </w:t>
      </w: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r>
        <w:rPr>
          <w:rFonts w:ascii="Times New Roman" w:hAnsi="Times New Roman"/>
          <w:color w:val="FF0000"/>
        </w:rPr>
        <w:t xml:space="preserve"> </w:t>
      </w: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bookmarkStart w:id="20" w:name="_GoBack"/>
      <w:bookmarkEnd w:id="20"/>
    </w:p>
    <w:p>
      <w:pPr>
        <w:rPr>
          <w:rFonts w:ascii="Times New Roman" w:hAnsi="Times New Roman"/>
          <w:b/>
          <w:color w:val="000000" w:themeColor="text1"/>
          <w:spacing w:val="-10"/>
          <w:sz w:val="36"/>
          <w:szCs w:val="36"/>
          <w:u w:val="thick"/>
        </w:rPr>
      </w:pPr>
      <w:r>
        <w:rPr>
          <w:rFonts w:ascii="Times New Roman" w:hAnsi="宋体"/>
          <w:b/>
          <w:color w:val="000000" w:themeColor="text1"/>
          <w:spacing w:val="-10"/>
          <w:sz w:val="36"/>
          <w:szCs w:val="36"/>
        </w:rPr>
        <w:t>项目名称：</w:t>
      </w:r>
      <w:r>
        <w:rPr>
          <w:rFonts w:ascii="Times New Roman" w:hAnsi="宋体"/>
          <w:b/>
          <w:color w:val="000000" w:themeColor="text1"/>
          <w:sz w:val="36"/>
          <w:szCs w:val="36"/>
          <w:u w:val="thick"/>
        </w:rPr>
        <w:t>汕尾市红海湾佳龙混</w:t>
      </w:r>
      <w:r>
        <w:rPr>
          <w:rFonts w:hint="eastAsia" w:ascii="Times New Roman" w:hAnsi="宋体"/>
          <w:b/>
          <w:color w:val="000000" w:themeColor="text1"/>
          <w:sz w:val="36"/>
          <w:szCs w:val="36"/>
          <w:u w:val="thick"/>
          <w:lang w:eastAsia="zh-CN"/>
        </w:rPr>
        <w:t>凝</w:t>
      </w:r>
      <w:r>
        <w:rPr>
          <w:rFonts w:ascii="Times New Roman" w:hAnsi="宋体"/>
          <w:b/>
          <w:color w:val="000000" w:themeColor="text1"/>
          <w:sz w:val="36"/>
          <w:szCs w:val="36"/>
          <w:u w:val="thick"/>
        </w:rPr>
        <w:t>土有限公司新建项目</w:t>
      </w:r>
      <w:r>
        <w:rPr>
          <w:rFonts w:hint="eastAsia" w:ascii="Times New Roman" w:hAnsi="宋体"/>
          <w:b/>
          <w:color w:val="000000" w:themeColor="text1"/>
          <w:sz w:val="36"/>
          <w:szCs w:val="36"/>
          <w:u w:val="thick"/>
        </w:rPr>
        <w:t xml:space="preserve">       </w:t>
      </w:r>
    </w:p>
    <w:p>
      <w:pPr>
        <w:spacing w:beforeLines="100" w:line="360" w:lineRule="auto"/>
        <w:ind w:right="-88" w:rightChars="-42"/>
        <w:rPr>
          <w:rFonts w:ascii="Times New Roman" w:hAnsi="Times New Roman"/>
          <w:b/>
          <w:color w:val="000000" w:themeColor="text1"/>
          <w:sz w:val="36"/>
          <w:szCs w:val="36"/>
        </w:rPr>
      </w:pPr>
      <w:r>
        <w:rPr>
          <w:rFonts w:ascii="Times New Roman" w:hAnsi="宋体"/>
          <w:b/>
          <w:color w:val="000000" w:themeColor="text1"/>
          <w:sz w:val="36"/>
          <w:szCs w:val="36"/>
        </w:rPr>
        <w:t>建设单位：</w:t>
      </w:r>
      <w:r>
        <w:rPr>
          <w:rFonts w:ascii="Times New Roman" w:hAnsi="Times New Roman"/>
          <w:b/>
          <w:color w:val="000000" w:themeColor="text1"/>
          <w:sz w:val="36"/>
          <w:szCs w:val="36"/>
          <w:u w:val="thick"/>
        </w:rPr>
        <w:t xml:space="preserve">  </w:t>
      </w:r>
      <w:r>
        <w:rPr>
          <w:rFonts w:hint="eastAsia" w:ascii="Times New Roman" w:hAnsi="Times New Roman"/>
          <w:b/>
          <w:color w:val="000000" w:themeColor="text1"/>
          <w:sz w:val="36"/>
          <w:szCs w:val="36"/>
          <w:u w:val="thick"/>
        </w:rPr>
        <w:t xml:space="preserve">  </w:t>
      </w:r>
      <w:r>
        <w:rPr>
          <w:rFonts w:ascii="Times New Roman" w:hAnsi="宋体"/>
          <w:b/>
          <w:color w:val="000000" w:themeColor="text1"/>
          <w:sz w:val="36"/>
          <w:szCs w:val="36"/>
          <w:u w:val="thick"/>
        </w:rPr>
        <w:t>汕尾市红海湾佳龙</w:t>
      </w:r>
      <w:r>
        <w:rPr>
          <w:rFonts w:hint="eastAsia" w:ascii="Times New Roman" w:hAnsi="宋体"/>
          <w:b/>
          <w:color w:val="000000" w:themeColor="text1"/>
          <w:sz w:val="36"/>
          <w:szCs w:val="36"/>
          <w:u w:val="thick"/>
          <w:lang w:eastAsia="zh-CN"/>
        </w:rPr>
        <w:t>混凝土</w:t>
      </w:r>
      <w:r>
        <w:rPr>
          <w:rFonts w:ascii="Times New Roman" w:hAnsi="宋体"/>
          <w:b/>
          <w:color w:val="000000" w:themeColor="text1"/>
          <w:sz w:val="36"/>
          <w:szCs w:val="36"/>
          <w:u w:val="thick"/>
        </w:rPr>
        <w:t>有限公司</w:t>
      </w:r>
      <w:r>
        <w:rPr>
          <w:rFonts w:ascii="Times New Roman" w:hAnsi="Times New Roman"/>
          <w:b/>
          <w:color w:val="000000" w:themeColor="text1"/>
          <w:sz w:val="36"/>
          <w:szCs w:val="36"/>
          <w:u w:val="thick"/>
        </w:rPr>
        <w:t xml:space="preserve">   </w:t>
      </w:r>
      <w:r>
        <w:rPr>
          <w:rFonts w:hint="eastAsia" w:ascii="Times New Roman" w:hAnsi="Times New Roman"/>
          <w:b/>
          <w:color w:val="000000" w:themeColor="text1"/>
          <w:sz w:val="36"/>
          <w:szCs w:val="36"/>
          <w:u w:val="thick"/>
        </w:rPr>
        <w:t xml:space="preserve">   </w:t>
      </w: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p>
      <w:pPr>
        <w:rPr>
          <w:rFonts w:ascii="Times New Roman" w:hAnsi="Times New Roman"/>
          <w:color w:val="FF0000"/>
        </w:rPr>
      </w:pPr>
      <w:r>
        <w:rPr>
          <w:rFonts w:ascii="Times New Roman" w:hAnsi="Times New Roman"/>
          <w:color w:val="FF0000"/>
        </w:rPr>
        <w:pict>
          <v:rect id="_x0000_s3359" o:spid="_x0000_s3359" o:spt="1" style="position:absolute;left:0pt;margin-left:-37.65pt;margin-top:7.8pt;height:109.2pt;width:519.75pt;z-index:1024;mso-width-relative:page;mso-height-relative:page;" filled="f" stroked="f" coordsize="21600,21600">
            <v:path/>
            <v:fill on="f" focussize="0,0"/>
            <v:stroke on="f"/>
            <v:imagedata o:title=""/>
            <o:lock v:ext="edit"/>
            <v:textbox>
              <w:txbxContent>
                <w:p>
                  <w:pPr>
                    <w:jc w:val="center"/>
                    <w:rPr>
                      <w:rFonts w:ascii="Times New Roman" w:hAnsi="Times New Roman"/>
                      <w:b/>
                      <w:sz w:val="36"/>
                      <w:szCs w:val="36"/>
                    </w:rPr>
                  </w:pPr>
                  <w:r>
                    <w:rPr>
                      <w:rFonts w:ascii="Times New Roman" w:hAnsi="宋体"/>
                      <w:b/>
                      <w:sz w:val="36"/>
                      <w:szCs w:val="36"/>
                    </w:rPr>
                    <w:t>编制日期</w:t>
                  </w:r>
                  <w:r>
                    <w:rPr>
                      <w:rFonts w:ascii="Times New Roman" w:hAnsi="Times New Roman"/>
                      <w:b/>
                      <w:sz w:val="36"/>
                      <w:szCs w:val="36"/>
                    </w:rPr>
                    <w:t xml:space="preserve">  20</w:t>
                  </w:r>
                  <w:r>
                    <w:rPr>
                      <w:rFonts w:hint="eastAsia" w:ascii="Times New Roman" w:hAnsi="Times New Roman"/>
                      <w:b/>
                      <w:sz w:val="36"/>
                      <w:szCs w:val="36"/>
                    </w:rPr>
                    <w:t>17</w:t>
                  </w:r>
                  <w:r>
                    <w:rPr>
                      <w:rFonts w:ascii="Times New Roman" w:hAnsi="宋体"/>
                      <w:b/>
                      <w:sz w:val="36"/>
                      <w:szCs w:val="36"/>
                    </w:rPr>
                    <w:t>年</w:t>
                  </w:r>
                  <w:r>
                    <w:rPr>
                      <w:rFonts w:hint="eastAsia" w:ascii="Times New Roman" w:hAnsi="Times New Roman"/>
                      <w:b/>
                      <w:sz w:val="36"/>
                      <w:szCs w:val="36"/>
                    </w:rPr>
                    <w:t>7</w:t>
                  </w:r>
                  <w:r>
                    <w:rPr>
                      <w:rFonts w:ascii="Times New Roman" w:hAnsi="宋体"/>
                      <w:b/>
                      <w:sz w:val="36"/>
                      <w:szCs w:val="36"/>
                    </w:rPr>
                    <w:t>月</w:t>
                  </w:r>
                  <w:r>
                    <w:rPr>
                      <w:rFonts w:hint="eastAsia" w:ascii="Times New Roman" w:hAnsi="Times New Roman"/>
                      <w:b/>
                      <w:sz w:val="36"/>
                      <w:szCs w:val="36"/>
                    </w:rPr>
                    <w:t>10</w:t>
                  </w:r>
                  <w:r>
                    <w:rPr>
                      <w:rFonts w:ascii="Times New Roman" w:hAnsi="宋体"/>
                      <w:b/>
                      <w:sz w:val="36"/>
                      <w:szCs w:val="36"/>
                    </w:rPr>
                    <w:t>日</w:t>
                  </w:r>
                </w:p>
                <w:p>
                  <w:pPr>
                    <w:jc w:val="center"/>
                    <w:rPr>
                      <w:rFonts w:ascii="Times New Roman" w:hAnsi="Times New Roman"/>
                      <w:b/>
                      <w:sz w:val="28"/>
                      <w:szCs w:val="28"/>
                    </w:rPr>
                  </w:pPr>
                  <w:r>
                    <w:rPr>
                      <w:rFonts w:hint="eastAsia" w:ascii="Times New Roman" w:hAnsi="宋体"/>
                      <w:b/>
                      <w:bCs/>
                      <w:sz w:val="36"/>
                      <w:szCs w:val="36"/>
                    </w:rPr>
                    <w:t>国家环境保护部制</w:t>
                  </w:r>
                </w:p>
              </w:txbxContent>
            </v:textbox>
          </v:rect>
        </w:pict>
      </w:r>
    </w:p>
    <w:p>
      <w:pPr>
        <w:rPr>
          <w:rFonts w:ascii="Times New Roman" w:hAnsi="Times New Roman"/>
          <w:color w:val="FF0000"/>
        </w:rPr>
      </w:pPr>
    </w:p>
    <w:p>
      <w:pPr>
        <w:rPr>
          <w:rFonts w:ascii="Times New Roman" w:hAnsi="Times New Roman"/>
          <w:color w:val="FF0000"/>
        </w:rPr>
      </w:pPr>
    </w:p>
    <w:p>
      <w:pPr>
        <w:spacing w:line="360" w:lineRule="auto"/>
        <w:jc w:val="center"/>
        <w:rPr>
          <w:rFonts w:ascii="Times New Roman" w:hAnsi="Times New Roman"/>
          <w:color w:val="FF0000"/>
          <w:sz w:val="32"/>
        </w:rPr>
      </w:pPr>
    </w:p>
    <w:p>
      <w:pPr>
        <w:jc w:val="center"/>
        <w:rPr>
          <w:rFonts w:ascii="Times New Roman" w:hAnsi="Times New Roman"/>
          <w:color w:val="FF0000"/>
          <w:sz w:val="32"/>
          <w:szCs w:val="32"/>
        </w:rPr>
      </w:pPr>
    </w:p>
    <w:p>
      <w:pPr>
        <w:spacing w:before="600" w:after="240"/>
        <w:jc w:val="center"/>
        <w:rPr>
          <w:rFonts w:ascii="Times New Roman" w:hAnsi="Times New Roman"/>
          <w:b/>
          <w:color w:val="000000" w:themeColor="text1"/>
          <w:sz w:val="32"/>
        </w:rPr>
      </w:pPr>
      <w:r>
        <w:rPr>
          <w:rFonts w:ascii="Times New Roman" w:hAnsi="Times New Roman"/>
          <w:b/>
          <w:color w:val="000000" w:themeColor="text1"/>
          <w:sz w:val="32"/>
        </w:rPr>
        <w:t>《建设项目环境影响报告表》编制说明</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《建设项目环境影响报告表》由具有从事环境影响评价工作资质的单位编制。</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1、项目名称——指项目立项批复时的名称，应不超过30个字（两个英文字段作一个汉字）。</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2、建设地点——指项目所在地详细地址，公路、铁路应填写起止地点。</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3、行业类别——按国标填写。</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4、总投资——指项目投资总额。</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5、主要环境保护目标——指项目区周围一定范围内集中居民住宅区、学校、医院、保护文物、风景名胜区、水源地和生态敏感点等，应尽可能给出保护目标、性质、规模和距厂界距离等。</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6、结论与建议——给出本项目清洁生产、达标排放和总量控制的分析结论，确定污染防治措施的有效性，说明本项目对环境造成的影响，给出建设项目环境可行性的明确结论。同时提出减少环境影响的其他建议。</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7、预审意见——由行业主管部门填写答复意见，无主管部门项目，可不填。</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8、审批意见——由负责审批该项目的环境保护行政主管部门批复。</w:t>
      </w:r>
    </w:p>
    <w:p>
      <w:pPr>
        <w:spacing w:line="360" w:lineRule="auto"/>
        <w:rPr>
          <w:rFonts w:ascii="Times New Roman" w:hAnsi="Times New Roman"/>
          <w:color w:val="FF0000"/>
          <w:sz w:val="24"/>
          <w:highlight w:val="yellow"/>
        </w:rPr>
      </w:pPr>
    </w:p>
    <w:p>
      <w:pPr>
        <w:spacing w:line="360" w:lineRule="auto"/>
        <w:rPr>
          <w:rFonts w:ascii="Times New Roman" w:hAnsi="Times New Roman"/>
          <w:color w:val="FF0000"/>
          <w:sz w:val="24"/>
          <w:highlight w:val="yellow"/>
        </w:rPr>
        <w:sectPr>
          <w:footerReference r:id="rId6" w:type="first"/>
          <w:headerReference r:id="rId3" w:type="default"/>
          <w:footerReference r:id="rId4" w:type="default"/>
          <w:footerReference r:id="rId5" w:type="even"/>
          <w:pgSz w:w="11906" w:h="16838"/>
          <w:pgMar w:top="1440" w:right="1406" w:bottom="1440" w:left="1797" w:header="851" w:footer="992" w:gutter="57"/>
          <w:pgNumType w:start="0"/>
          <w:cols w:space="720" w:num="1"/>
          <w:titlePg/>
          <w:docGrid w:type="lines" w:linePitch="312" w:charSpace="0"/>
        </w:sectPr>
      </w:pPr>
    </w:p>
    <w:p>
      <w:pPr>
        <w:pStyle w:val="2"/>
        <w:ind w:firstLine="275" w:firstLineChars="98"/>
        <w:jc w:val="both"/>
        <w:rPr>
          <w:rFonts w:ascii="Times New Roman" w:hAnsi="Times New Roman"/>
          <w:b/>
          <w:color w:val="000000" w:themeColor="text1"/>
          <w:sz w:val="28"/>
        </w:rPr>
      </w:pPr>
      <w:bookmarkStart w:id="0" w:name="_Toc236472095"/>
      <w:bookmarkStart w:id="1" w:name="_Toc240863950"/>
      <w:r>
        <w:rPr>
          <w:rFonts w:ascii="Times New Roman" w:hAnsi="宋体"/>
          <w:b/>
          <w:color w:val="000000" w:themeColor="text1"/>
          <w:sz w:val="28"/>
        </w:rPr>
        <w:t>建设项目基本情况</w:t>
      </w:r>
      <w:bookmarkEnd w:id="0"/>
      <w:bookmarkEnd w:id="1"/>
    </w:p>
    <w:tbl>
      <w:tblPr>
        <w:tblStyle w:val="27"/>
        <w:tblW w:w="886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14"/>
        <w:gridCol w:w="1290"/>
        <w:gridCol w:w="790"/>
        <w:gridCol w:w="799"/>
        <w:gridCol w:w="1485"/>
        <w:gridCol w:w="1583"/>
        <w:gridCol w:w="13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项目名称</w:t>
            </w:r>
          </w:p>
        </w:tc>
        <w:tc>
          <w:tcPr>
            <w:tcW w:w="7251" w:type="dxa"/>
            <w:gridSpan w:val="6"/>
            <w:vAlign w:val="center"/>
          </w:tcPr>
          <w:p>
            <w:pPr>
              <w:jc w:val="center"/>
              <w:rPr>
                <w:rFonts w:ascii="Times New Roman" w:hAnsi="Times New Roman"/>
                <w:color w:val="000000" w:themeColor="text1"/>
                <w:sz w:val="24"/>
                <w:szCs w:val="24"/>
              </w:rPr>
            </w:pPr>
            <w:r>
              <w:rPr>
                <w:rFonts w:ascii="Times New Roman" w:hAnsi="宋体"/>
                <w:color w:val="000000" w:themeColor="text1"/>
                <w:sz w:val="24"/>
                <w:szCs w:val="24"/>
              </w:rPr>
              <w:t>汕尾市红海湾佳龙</w:t>
            </w:r>
            <w:r>
              <w:rPr>
                <w:rFonts w:hint="eastAsia" w:ascii="Times New Roman" w:hAnsi="宋体"/>
                <w:color w:val="000000" w:themeColor="text1"/>
                <w:sz w:val="24"/>
                <w:szCs w:val="24"/>
                <w:lang w:eastAsia="zh-CN"/>
              </w:rPr>
              <w:t>混凝土</w:t>
            </w:r>
            <w:r>
              <w:rPr>
                <w:rFonts w:ascii="Times New Roman" w:hAnsi="宋体"/>
                <w:color w:val="000000" w:themeColor="text1"/>
                <w:sz w:val="24"/>
                <w:szCs w:val="24"/>
              </w:rPr>
              <w:t>有限公司新建项目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建设单位</w:t>
            </w:r>
          </w:p>
        </w:tc>
        <w:tc>
          <w:tcPr>
            <w:tcW w:w="7251" w:type="dxa"/>
            <w:gridSpan w:val="6"/>
            <w:vAlign w:val="center"/>
          </w:tcPr>
          <w:p>
            <w:pPr>
              <w:jc w:val="center"/>
              <w:rPr>
                <w:rFonts w:ascii="Times New Roman" w:hAnsi="Times New Roman"/>
                <w:color w:val="000000" w:themeColor="text1"/>
                <w:sz w:val="24"/>
              </w:rPr>
            </w:pPr>
            <w:r>
              <w:rPr>
                <w:rFonts w:ascii="Times New Roman" w:hAnsi="宋体"/>
                <w:color w:val="000000" w:themeColor="text1"/>
                <w:sz w:val="24"/>
              </w:rPr>
              <w:t>汕尾市红海湾佳龙</w:t>
            </w:r>
            <w:r>
              <w:rPr>
                <w:rFonts w:hint="eastAsia" w:ascii="Times New Roman" w:hAnsi="宋体"/>
                <w:color w:val="000000" w:themeColor="text1"/>
                <w:sz w:val="24"/>
                <w:lang w:eastAsia="zh-CN"/>
              </w:rPr>
              <w:t>混凝土</w:t>
            </w:r>
            <w:r>
              <w:rPr>
                <w:rFonts w:ascii="Times New Roman" w:hAnsi="宋体"/>
                <w:color w:val="000000" w:themeColor="text1"/>
                <w:sz w:val="24"/>
              </w:rPr>
              <w:t>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法人代表</w:t>
            </w:r>
          </w:p>
        </w:tc>
        <w:tc>
          <w:tcPr>
            <w:tcW w:w="2879" w:type="dxa"/>
            <w:gridSpan w:val="3"/>
            <w:vAlign w:val="center"/>
          </w:tcPr>
          <w:p>
            <w:pPr>
              <w:jc w:val="center"/>
              <w:rPr>
                <w:rFonts w:ascii="Times New Roman" w:hAnsi="Times New Roman"/>
                <w:color w:val="000000" w:themeColor="text1"/>
                <w:sz w:val="24"/>
              </w:rPr>
            </w:pPr>
            <w:r>
              <w:rPr>
                <w:rFonts w:hint="eastAsia" w:ascii="Times New Roman" w:hAnsi="宋体"/>
                <w:color w:val="000000" w:themeColor="text1"/>
                <w:sz w:val="24"/>
              </w:rPr>
              <w:t>刘焕泉</w:t>
            </w:r>
          </w:p>
        </w:tc>
        <w:tc>
          <w:tcPr>
            <w:tcW w:w="1485"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联系人</w:t>
            </w:r>
          </w:p>
        </w:tc>
        <w:tc>
          <w:tcPr>
            <w:tcW w:w="2887" w:type="dxa"/>
            <w:gridSpan w:val="2"/>
            <w:vAlign w:val="center"/>
          </w:tcPr>
          <w:p>
            <w:pPr>
              <w:jc w:val="center"/>
              <w:rPr>
                <w:rFonts w:ascii="Times New Roman" w:hAnsi="Times New Roman"/>
                <w:color w:val="000000" w:themeColor="text1"/>
                <w:sz w:val="24"/>
              </w:rPr>
            </w:pPr>
            <w:r>
              <w:rPr>
                <w:rFonts w:hint="eastAsia" w:ascii="Times New Roman" w:hAnsi="宋体"/>
                <w:color w:val="000000" w:themeColor="text1"/>
                <w:sz w:val="24"/>
              </w:rPr>
              <w:t>李</w:t>
            </w:r>
            <w:r>
              <w:rPr>
                <w:rFonts w:ascii="Times New Roman" w:hAnsi="宋体"/>
                <w:color w:val="000000" w:themeColor="text1"/>
                <w:sz w:val="24"/>
              </w:rPr>
              <w:t>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通讯地址</w:t>
            </w:r>
          </w:p>
        </w:tc>
        <w:tc>
          <w:tcPr>
            <w:tcW w:w="7251" w:type="dxa"/>
            <w:gridSpan w:val="6"/>
            <w:vAlign w:val="center"/>
          </w:tcPr>
          <w:p>
            <w:pPr>
              <w:jc w:val="center"/>
              <w:rPr>
                <w:rFonts w:ascii="Times New Roman" w:hAnsi="Times New Roman"/>
                <w:color w:val="000000" w:themeColor="text1"/>
                <w:sz w:val="24"/>
              </w:rPr>
            </w:pPr>
            <w:r>
              <w:rPr>
                <w:rFonts w:hint="eastAsia" w:ascii="Times New Roman" w:hAnsi="宋体"/>
                <w:color w:val="000000" w:themeColor="text1"/>
                <w:sz w:val="24"/>
              </w:rPr>
              <w:t>汕尾市区红海湾田墘街道石新村委小马巷村西面钉子路口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联系电话</w:t>
            </w:r>
          </w:p>
        </w:tc>
        <w:tc>
          <w:tcPr>
            <w:tcW w:w="2080" w:type="dxa"/>
            <w:gridSpan w:val="2"/>
            <w:vAlign w:val="center"/>
          </w:tcPr>
          <w:p>
            <w:pPr>
              <w:jc w:val="center"/>
              <w:rPr>
                <w:rFonts w:ascii="Times New Roman" w:hAnsi="Times New Roman"/>
                <w:color w:val="000000" w:themeColor="text1"/>
                <w:sz w:val="24"/>
              </w:rPr>
            </w:pPr>
            <w:r>
              <w:rPr>
                <w:rFonts w:hint="eastAsia" w:ascii="Times New Roman" w:hAnsi="Times New Roman"/>
                <w:color w:val="000000" w:themeColor="text1"/>
                <w:sz w:val="24"/>
              </w:rPr>
              <w:t>18946922337</w:t>
            </w:r>
          </w:p>
        </w:tc>
        <w:tc>
          <w:tcPr>
            <w:tcW w:w="799"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传真</w:t>
            </w:r>
          </w:p>
        </w:tc>
        <w:tc>
          <w:tcPr>
            <w:tcW w:w="1485" w:type="dxa"/>
            <w:vAlign w:val="center"/>
          </w:tcPr>
          <w:p>
            <w:pPr>
              <w:jc w:val="center"/>
              <w:rPr>
                <w:rFonts w:ascii="Times New Roman" w:hAnsi="Times New Roman"/>
                <w:color w:val="000000" w:themeColor="text1"/>
                <w:sz w:val="24"/>
              </w:rPr>
            </w:pPr>
            <w:r>
              <w:rPr>
                <w:rFonts w:ascii="Times New Roman" w:hAnsi="Times New Roman"/>
                <w:color w:val="000000" w:themeColor="text1"/>
                <w:sz w:val="24"/>
              </w:rPr>
              <w:t>——</w:t>
            </w:r>
          </w:p>
        </w:tc>
        <w:tc>
          <w:tcPr>
            <w:tcW w:w="1583"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邮政编码</w:t>
            </w:r>
          </w:p>
        </w:tc>
        <w:tc>
          <w:tcPr>
            <w:tcW w:w="1304" w:type="dxa"/>
            <w:vAlign w:val="center"/>
          </w:tcPr>
          <w:p>
            <w:pPr>
              <w:jc w:val="center"/>
              <w:rPr>
                <w:rFonts w:ascii="Times New Roman" w:hAnsi="Times New Roman"/>
                <w:color w:val="000000" w:themeColor="text1"/>
                <w:sz w:val="24"/>
              </w:rPr>
            </w:pPr>
            <w:r>
              <w:rPr>
                <w:rFonts w:hint="eastAsia" w:ascii="Times New Roman" w:hAnsi="Times New Roman"/>
                <w:color w:val="000000" w:themeColor="text1"/>
                <w:sz w:val="24"/>
              </w:rPr>
              <w:t>516622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highlight w:val="yellow"/>
              </w:rPr>
            </w:pPr>
            <w:r>
              <w:rPr>
                <w:rFonts w:ascii="Times New Roman" w:hAnsi="宋体"/>
                <w:b/>
                <w:color w:val="000000" w:themeColor="text1"/>
                <w:sz w:val="24"/>
              </w:rPr>
              <w:t>建设地点</w:t>
            </w:r>
          </w:p>
        </w:tc>
        <w:tc>
          <w:tcPr>
            <w:tcW w:w="7251" w:type="dxa"/>
            <w:gridSpan w:val="6"/>
            <w:vAlign w:val="center"/>
          </w:tcPr>
          <w:p>
            <w:pPr>
              <w:jc w:val="center"/>
              <w:rPr>
                <w:rFonts w:ascii="Times New Roman" w:hAnsi="Times New Roman"/>
                <w:color w:val="000000" w:themeColor="text1"/>
                <w:sz w:val="24"/>
                <w:highlight w:val="yellow"/>
              </w:rPr>
            </w:pPr>
            <w:r>
              <w:rPr>
                <w:rFonts w:hint="eastAsia" w:ascii="Times New Roman" w:hAnsi="宋体"/>
                <w:color w:val="000000" w:themeColor="text1"/>
                <w:sz w:val="24"/>
              </w:rPr>
              <w:t>汕尾市</w:t>
            </w:r>
            <w:r>
              <w:rPr>
                <w:rFonts w:ascii="Times New Roman" w:hAnsi="宋体"/>
                <w:color w:val="000000" w:themeColor="text1"/>
                <w:sz w:val="24"/>
              </w:rPr>
              <w:t>红海湾开发区</w:t>
            </w:r>
            <w:r>
              <w:rPr>
                <w:rFonts w:ascii="Times New Roman" w:hAnsi="宋体"/>
                <w:color w:val="FF0000"/>
                <w:sz w:val="24"/>
              </w:rPr>
              <w:t>田墘</w:t>
            </w:r>
            <w:r>
              <w:rPr>
                <w:rFonts w:ascii="Times New Roman" w:hAnsi="宋体"/>
                <w:color w:val="000000" w:themeColor="text1"/>
                <w:sz w:val="24"/>
              </w:rPr>
              <w:t>街道石新村委小马巷村后面荒山坡地</w:t>
            </w:r>
            <w:r>
              <w:rPr>
                <w:rFonts w:hint="eastAsia" w:ascii="Times New Roman" w:hAnsi="宋体"/>
                <w:color w:val="000000" w:themeColor="text1"/>
                <w:sz w:val="24"/>
              </w:rPr>
              <w:t>，</w:t>
            </w:r>
            <w:r>
              <w:rPr>
                <w:rFonts w:ascii="Times New Roman" w:hAnsi="宋体"/>
                <w:color w:val="000000" w:themeColor="text1"/>
                <w:sz w:val="24"/>
              </w:rPr>
              <w:t>与捷胜镇北门村委交界处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审批部门</w:t>
            </w:r>
          </w:p>
        </w:tc>
        <w:tc>
          <w:tcPr>
            <w:tcW w:w="2879" w:type="dxa"/>
            <w:gridSpan w:val="3"/>
            <w:vAlign w:val="center"/>
          </w:tcPr>
          <w:p>
            <w:pPr>
              <w:jc w:val="center"/>
              <w:rPr>
                <w:rFonts w:ascii="Times New Roman" w:hAnsi="Times New Roman"/>
                <w:color w:val="000000" w:themeColor="text1"/>
                <w:sz w:val="24"/>
              </w:rPr>
            </w:pPr>
            <w:r>
              <w:rPr>
                <w:rFonts w:ascii="Times New Roman" w:hAnsi="Times New Roman"/>
                <w:color w:val="000000" w:themeColor="text1"/>
                <w:sz w:val="24"/>
              </w:rPr>
              <w:t>——</w:t>
            </w:r>
          </w:p>
        </w:tc>
        <w:tc>
          <w:tcPr>
            <w:tcW w:w="1485"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批准文号</w:t>
            </w:r>
          </w:p>
        </w:tc>
        <w:tc>
          <w:tcPr>
            <w:tcW w:w="2887" w:type="dxa"/>
            <w:gridSpan w:val="2"/>
            <w:vAlign w:val="center"/>
          </w:tcPr>
          <w:p>
            <w:pPr>
              <w:jc w:val="center"/>
              <w:rPr>
                <w:rFonts w:ascii="Times New Roman" w:hAnsi="Times New Roman"/>
                <w:color w:val="000000" w:themeColor="text1"/>
                <w:sz w:val="24"/>
              </w:rPr>
            </w:pPr>
            <w:r>
              <w:rPr>
                <w:rFonts w:ascii="Times New Roman" w:hAnsi="Times New Roman"/>
                <w:color w:val="000000" w:themeColor="text1"/>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建设性质</w:t>
            </w:r>
          </w:p>
        </w:tc>
        <w:tc>
          <w:tcPr>
            <w:tcW w:w="2879" w:type="dxa"/>
            <w:gridSpan w:val="3"/>
            <w:vAlign w:val="center"/>
          </w:tcPr>
          <w:p>
            <w:pPr>
              <w:adjustRightInd w:val="0"/>
              <w:snapToGrid w:val="0"/>
              <w:jc w:val="center"/>
              <w:rPr>
                <w:rFonts w:ascii="Times New Roman" w:hAnsi="Times New Roman"/>
                <w:color w:val="000000" w:themeColor="text1"/>
                <w:sz w:val="24"/>
              </w:rPr>
            </w:pPr>
            <w:r>
              <w:rPr>
                <w:rFonts w:ascii="Times New Roman" w:hAnsi="宋体"/>
                <w:color w:val="000000" w:themeColor="text1"/>
                <w:sz w:val="24"/>
              </w:rPr>
              <w:t>新建</w:t>
            </w:r>
            <w:r>
              <w:rPr>
                <w:rFonts w:ascii="Times New Roman" w:hAnsi="Times New Roman"/>
                <w:color w:val="000000" w:themeColor="text1"/>
                <w:sz w:val="24"/>
              </w:rPr>
              <w:t>√</w:t>
            </w:r>
            <w:r>
              <w:rPr>
                <w:rFonts w:ascii="Times New Roman" w:hAnsi="宋体"/>
                <w:color w:val="000000" w:themeColor="text1"/>
                <w:sz w:val="24"/>
              </w:rPr>
              <w:t>改建</w:t>
            </w:r>
            <w:r>
              <w:rPr>
                <w:rFonts w:ascii="Times New Roman" w:hAnsi="Times New Roman"/>
                <w:color w:val="000000" w:themeColor="text1"/>
                <w:sz w:val="24"/>
              </w:rPr>
              <w:t>□</w:t>
            </w:r>
            <w:r>
              <w:rPr>
                <w:rFonts w:ascii="Times New Roman" w:hAnsi="宋体"/>
                <w:color w:val="000000" w:themeColor="text1"/>
                <w:sz w:val="24"/>
              </w:rPr>
              <w:t>扩建</w:t>
            </w:r>
            <w:r>
              <w:rPr>
                <w:rFonts w:ascii="Times New Roman" w:hAnsi="Times New Roman"/>
                <w:color w:val="000000" w:themeColor="text1"/>
                <w:sz w:val="24"/>
              </w:rPr>
              <w:t>□</w:t>
            </w:r>
          </w:p>
          <w:p>
            <w:pPr>
              <w:jc w:val="center"/>
              <w:rPr>
                <w:rFonts w:ascii="Times New Roman" w:hAnsi="Times New Roman"/>
                <w:color w:val="000000" w:themeColor="text1"/>
                <w:sz w:val="24"/>
              </w:rPr>
            </w:pPr>
            <w:r>
              <w:rPr>
                <w:rFonts w:ascii="Times New Roman" w:hAnsi="宋体"/>
                <w:color w:val="000000" w:themeColor="text1"/>
                <w:sz w:val="24"/>
              </w:rPr>
              <w:t>迁建</w:t>
            </w:r>
            <w:r>
              <w:rPr>
                <w:rFonts w:ascii="Times New Roman" w:hAnsi="Times New Roman"/>
                <w:color w:val="000000" w:themeColor="text1"/>
                <w:sz w:val="24"/>
              </w:rPr>
              <w:t>□</w:t>
            </w:r>
            <w:r>
              <w:rPr>
                <w:rFonts w:ascii="Times New Roman" w:hAnsi="宋体"/>
                <w:color w:val="000000" w:themeColor="text1"/>
                <w:sz w:val="24"/>
              </w:rPr>
              <w:t>续期</w:t>
            </w:r>
            <w:r>
              <w:rPr>
                <w:rFonts w:ascii="Times New Roman" w:hAnsi="Times New Roman"/>
                <w:color w:val="000000" w:themeColor="text1"/>
                <w:sz w:val="24"/>
              </w:rPr>
              <w:t>□</w:t>
            </w:r>
            <w:r>
              <w:rPr>
                <w:rFonts w:ascii="Times New Roman" w:hAnsi="宋体"/>
                <w:color w:val="000000" w:themeColor="text1"/>
                <w:sz w:val="24"/>
              </w:rPr>
              <w:t>补办</w:t>
            </w:r>
            <w:r>
              <w:rPr>
                <w:rFonts w:ascii="Times New Roman" w:hAnsi="Times New Roman"/>
                <w:color w:val="000000" w:themeColor="text1"/>
                <w:sz w:val="24"/>
              </w:rPr>
              <w:t>□</w:t>
            </w:r>
          </w:p>
        </w:tc>
        <w:tc>
          <w:tcPr>
            <w:tcW w:w="1485"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行业类别</w:t>
            </w:r>
          </w:p>
          <w:p>
            <w:pPr>
              <w:jc w:val="center"/>
              <w:rPr>
                <w:rFonts w:ascii="Times New Roman" w:hAnsi="Times New Roman"/>
                <w:b/>
                <w:color w:val="000000" w:themeColor="text1"/>
                <w:sz w:val="24"/>
              </w:rPr>
            </w:pPr>
            <w:r>
              <w:rPr>
                <w:rFonts w:ascii="Times New Roman" w:hAnsi="宋体"/>
                <w:b/>
                <w:color w:val="000000" w:themeColor="text1"/>
                <w:sz w:val="24"/>
              </w:rPr>
              <w:t>及代码</w:t>
            </w:r>
          </w:p>
        </w:tc>
        <w:tc>
          <w:tcPr>
            <w:tcW w:w="2887" w:type="dxa"/>
            <w:gridSpan w:val="2"/>
            <w:vAlign w:val="center"/>
          </w:tcPr>
          <w:p>
            <w:pPr>
              <w:adjustRightInd w:val="0"/>
              <w:snapToGrid w:val="0"/>
              <w:jc w:val="center"/>
              <w:rPr>
                <w:rFonts w:ascii="Times New Roman" w:hAnsi="Times New Roman"/>
                <w:color w:val="000000" w:themeColor="text1"/>
                <w:sz w:val="24"/>
              </w:rPr>
            </w:pPr>
            <w:r>
              <w:rPr>
                <w:rFonts w:hint="eastAsia" w:ascii="Times New Roman" w:hAnsi="宋体"/>
                <w:color w:val="000000" w:themeColor="text1"/>
                <w:sz w:val="24"/>
              </w:rPr>
              <w:t>水泥制品制造C3021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占地面积</w:t>
            </w:r>
          </w:p>
          <w:p>
            <w:pPr>
              <w:jc w:val="center"/>
              <w:rPr>
                <w:rFonts w:ascii="Times New Roman" w:hAnsi="Times New Roman"/>
                <w:b/>
                <w:color w:val="000000" w:themeColor="text1"/>
                <w:sz w:val="24"/>
              </w:rPr>
            </w:pPr>
            <w:r>
              <w:rPr>
                <w:rFonts w:ascii="Times New Roman" w:hAnsi="宋体"/>
                <w:b/>
                <w:color w:val="000000" w:themeColor="text1"/>
                <w:sz w:val="24"/>
              </w:rPr>
              <w:t>（</w:t>
            </w:r>
            <w:r>
              <w:rPr>
                <w:rFonts w:ascii="Times New Roman" w:hAnsi="Times New Roman"/>
                <w:b/>
                <w:color w:val="000000" w:themeColor="text1"/>
                <w:sz w:val="24"/>
              </w:rPr>
              <w:t>m</w:t>
            </w:r>
            <w:r>
              <w:rPr>
                <w:rFonts w:ascii="Times New Roman" w:hAnsi="Times New Roman"/>
                <w:b/>
                <w:color w:val="000000" w:themeColor="text1"/>
                <w:sz w:val="24"/>
                <w:vertAlign w:val="superscript"/>
              </w:rPr>
              <w:t>2</w:t>
            </w:r>
            <w:r>
              <w:rPr>
                <w:rFonts w:ascii="Times New Roman" w:hAnsi="宋体"/>
                <w:b/>
                <w:color w:val="000000" w:themeColor="text1"/>
                <w:sz w:val="24"/>
              </w:rPr>
              <w:t>）</w:t>
            </w:r>
          </w:p>
        </w:tc>
        <w:tc>
          <w:tcPr>
            <w:tcW w:w="2879" w:type="dxa"/>
            <w:gridSpan w:val="3"/>
            <w:vAlign w:val="center"/>
          </w:tcPr>
          <w:p>
            <w:pPr>
              <w:jc w:val="center"/>
              <w:rPr>
                <w:rFonts w:ascii="Times New Roman" w:hAnsi="Times New Roman"/>
                <w:color w:val="000000" w:themeColor="text1"/>
                <w:sz w:val="24"/>
              </w:rPr>
            </w:pPr>
            <w:r>
              <w:rPr>
                <w:rFonts w:hint="eastAsia" w:ascii="Times New Roman" w:hAnsi="Times New Roman"/>
                <w:color w:val="000000" w:themeColor="text1"/>
                <w:sz w:val="24"/>
                <w:szCs w:val="24"/>
              </w:rPr>
              <w:t>8000</w:t>
            </w:r>
          </w:p>
        </w:tc>
        <w:tc>
          <w:tcPr>
            <w:tcW w:w="1485"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绿化面积</w:t>
            </w:r>
          </w:p>
          <w:p>
            <w:pPr>
              <w:jc w:val="center"/>
              <w:rPr>
                <w:rFonts w:ascii="Times New Roman" w:hAnsi="Times New Roman"/>
                <w:b/>
                <w:color w:val="000000" w:themeColor="text1"/>
                <w:sz w:val="24"/>
              </w:rPr>
            </w:pPr>
            <w:r>
              <w:rPr>
                <w:rFonts w:ascii="Times New Roman" w:hAnsi="宋体"/>
                <w:b/>
                <w:color w:val="000000" w:themeColor="text1"/>
                <w:sz w:val="24"/>
              </w:rPr>
              <w:t>（</w:t>
            </w:r>
            <w:r>
              <w:rPr>
                <w:rFonts w:ascii="Times New Roman" w:hAnsi="Times New Roman"/>
                <w:b/>
                <w:color w:val="000000" w:themeColor="text1"/>
                <w:sz w:val="24"/>
              </w:rPr>
              <w:t>m</w:t>
            </w:r>
            <w:r>
              <w:rPr>
                <w:rFonts w:ascii="Times New Roman" w:hAnsi="Times New Roman"/>
                <w:b/>
                <w:color w:val="000000" w:themeColor="text1"/>
                <w:sz w:val="24"/>
                <w:vertAlign w:val="superscript"/>
              </w:rPr>
              <w:t>2</w:t>
            </w:r>
            <w:r>
              <w:rPr>
                <w:rFonts w:ascii="Times New Roman" w:hAnsi="宋体"/>
                <w:b/>
                <w:color w:val="000000" w:themeColor="text1"/>
                <w:sz w:val="24"/>
              </w:rPr>
              <w:t>）</w:t>
            </w:r>
          </w:p>
        </w:tc>
        <w:tc>
          <w:tcPr>
            <w:tcW w:w="2887" w:type="dxa"/>
            <w:gridSpan w:val="2"/>
            <w:vAlign w:val="center"/>
          </w:tcPr>
          <w:p>
            <w:pPr>
              <w:widowControl/>
              <w:jc w:val="center"/>
              <w:rPr>
                <w:rFonts w:ascii="Times New Roman" w:hAnsi="Times New Roman"/>
                <w:color w:val="000000" w:themeColor="text1"/>
                <w:sz w:val="24"/>
              </w:rPr>
            </w:pPr>
            <w:r>
              <w:rPr>
                <w:rFonts w:hint="eastAsia" w:ascii="Times New Roman" w:hAnsi="Times New Roman"/>
                <w:color w:val="000000" w:themeColor="text1"/>
                <w:sz w:val="24"/>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总投资</w:t>
            </w:r>
          </w:p>
          <w:p>
            <w:pPr>
              <w:jc w:val="center"/>
              <w:rPr>
                <w:rFonts w:ascii="Times New Roman" w:hAnsi="Times New Roman"/>
                <w:b/>
                <w:color w:val="000000" w:themeColor="text1"/>
                <w:sz w:val="24"/>
              </w:rPr>
            </w:pPr>
            <w:r>
              <w:rPr>
                <w:rFonts w:ascii="Times New Roman" w:hAnsi="宋体"/>
                <w:b/>
                <w:color w:val="000000" w:themeColor="text1"/>
                <w:sz w:val="24"/>
              </w:rPr>
              <w:t>（万元）</w:t>
            </w:r>
          </w:p>
        </w:tc>
        <w:tc>
          <w:tcPr>
            <w:tcW w:w="1290" w:type="dxa"/>
            <w:vAlign w:val="center"/>
          </w:tcPr>
          <w:p>
            <w:pPr>
              <w:jc w:val="center"/>
              <w:rPr>
                <w:rFonts w:ascii="Times New Roman" w:hAnsi="Times New Roman"/>
                <w:color w:val="000000" w:themeColor="text1"/>
                <w:sz w:val="24"/>
              </w:rPr>
            </w:pPr>
            <w:r>
              <w:rPr>
                <w:rFonts w:hint="eastAsia" w:ascii="Times New Roman" w:hAnsi="Times New Roman"/>
                <w:color w:val="000000" w:themeColor="text1"/>
                <w:sz w:val="24"/>
                <w:szCs w:val="24"/>
              </w:rPr>
              <w:t>2500</w:t>
            </w:r>
          </w:p>
        </w:tc>
        <w:tc>
          <w:tcPr>
            <w:tcW w:w="1589" w:type="dxa"/>
            <w:gridSpan w:val="2"/>
            <w:vAlign w:val="center"/>
          </w:tcPr>
          <w:p>
            <w:pPr>
              <w:jc w:val="center"/>
              <w:rPr>
                <w:rFonts w:ascii="Times New Roman" w:hAnsi="Times New Roman"/>
                <w:b/>
                <w:color w:val="000000" w:themeColor="text1"/>
                <w:sz w:val="24"/>
              </w:rPr>
            </w:pPr>
            <w:r>
              <w:rPr>
                <w:rFonts w:ascii="Times New Roman" w:hAnsi="宋体"/>
                <w:b/>
                <w:color w:val="000000" w:themeColor="text1"/>
                <w:sz w:val="24"/>
              </w:rPr>
              <w:t>环保投资</w:t>
            </w:r>
          </w:p>
          <w:p>
            <w:pPr>
              <w:jc w:val="center"/>
              <w:rPr>
                <w:rFonts w:ascii="Times New Roman" w:hAnsi="Times New Roman"/>
                <w:b/>
                <w:color w:val="000000" w:themeColor="text1"/>
                <w:sz w:val="24"/>
              </w:rPr>
            </w:pPr>
            <w:r>
              <w:rPr>
                <w:rFonts w:ascii="Times New Roman" w:hAnsi="宋体"/>
                <w:b/>
                <w:color w:val="000000" w:themeColor="text1"/>
                <w:sz w:val="24"/>
              </w:rPr>
              <w:t>（万元）</w:t>
            </w:r>
          </w:p>
        </w:tc>
        <w:tc>
          <w:tcPr>
            <w:tcW w:w="1485" w:type="dxa"/>
            <w:vAlign w:val="center"/>
          </w:tcPr>
          <w:p>
            <w:pPr>
              <w:jc w:val="center"/>
              <w:rPr>
                <w:rFonts w:ascii="Times New Roman" w:hAnsi="Times New Roman"/>
                <w:color w:val="000000" w:themeColor="text1"/>
                <w:sz w:val="24"/>
              </w:rPr>
            </w:pPr>
            <w:r>
              <w:rPr>
                <w:rFonts w:ascii="Times New Roman" w:hAnsi="Times New Roman"/>
                <w:color w:val="000000" w:themeColor="text1"/>
                <w:sz w:val="24"/>
              </w:rPr>
              <w:t>2</w:t>
            </w:r>
            <w:r>
              <w:rPr>
                <w:rFonts w:hint="eastAsia" w:ascii="Times New Roman" w:hAnsi="Times New Roman"/>
                <w:color w:val="000000" w:themeColor="text1"/>
                <w:sz w:val="24"/>
              </w:rPr>
              <w:t>50</w:t>
            </w:r>
          </w:p>
        </w:tc>
        <w:tc>
          <w:tcPr>
            <w:tcW w:w="1583" w:type="dxa"/>
            <w:vAlign w:val="center"/>
          </w:tcPr>
          <w:p>
            <w:pPr>
              <w:jc w:val="center"/>
              <w:rPr>
                <w:rFonts w:ascii="Times New Roman" w:hAnsi="Times New Roman"/>
                <w:b/>
                <w:color w:val="000000" w:themeColor="text1"/>
                <w:sz w:val="24"/>
              </w:rPr>
            </w:pPr>
            <w:r>
              <w:rPr>
                <w:rFonts w:ascii="Times New Roman" w:hAnsi="宋体"/>
                <w:b/>
                <w:color w:val="000000" w:themeColor="text1"/>
                <w:sz w:val="24"/>
              </w:rPr>
              <w:t>环保投资占总投资比例</w:t>
            </w:r>
          </w:p>
        </w:tc>
        <w:tc>
          <w:tcPr>
            <w:tcW w:w="1304" w:type="dxa"/>
            <w:vAlign w:val="center"/>
          </w:tcPr>
          <w:p>
            <w:pPr>
              <w:jc w:val="center"/>
              <w:rPr>
                <w:rFonts w:ascii="Times New Roman" w:hAnsi="Times New Roman"/>
                <w:color w:val="000000" w:themeColor="text1"/>
                <w:sz w:val="24"/>
              </w:rPr>
            </w:pPr>
            <w:r>
              <w:rPr>
                <w:rFonts w:hint="eastAsia" w:ascii="Times New Roman" w:hAnsi="Times New Roman"/>
                <w:color w:val="000000" w:themeColor="text1"/>
                <w:sz w:val="24"/>
              </w:rPr>
              <w:t>10</w:t>
            </w:r>
            <w:r>
              <w:rPr>
                <w:rFonts w:ascii="Times New Roman" w:hAnsi="Times New Roman"/>
                <w:color w:val="000000" w:themeColor="text1"/>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614" w:type="dxa"/>
            <w:tcBorders>
              <w:bottom w:val="single" w:color="auto" w:sz="12" w:space="0"/>
            </w:tcBorders>
            <w:vAlign w:val="center"/>
          </w:tcPr>
          <w:p>
            <w:pPr>
              <w:snapToGrid w:val="0"/>
              <w:jc w:val="center"/>
              <w:rPr>
                <w:rFonts w:ascii="Times New Roman" w:hAnsi="Times New Roman"/>
                <w:b/>
                <w:color w:val="000000" w:themeColor="text1"/>
                <w:sz w:val="24"/>
              </w:rPr>
            </w:pPr>
            <w:r>
              <w:rPr>
                <w:rFonts w:ascii="Times New Roman" w:hAnsi="宋体"/>
                <w:b/>
                <w:color w:val="000000" w:themeColor="text1"/>
                <w:sz w:val="24"/>
              </w:rPr>
              <w:t>评价经费</w:t>
            </w:r>
          </w:p>
          <w:p>
            <w:pPr>
              <w:snapToGrid w:val="0"/>
              <w:jc w:val="center"/>
              <w:rPr>
                <w:rFonts w:ascii="Times New Roman" w:hAnsi="Times New Roman"/>
                <w:b/>
                <w:color w:val="000000" w:themeColor="text1"/>
                <w:sz w:val="24"/>
              </w:rPr>
            </w:pPr>
            <w:r>
              <w:rPr>
                <w:rFonts w:ascii="Times New Roman" w:hAnsi="宋体"/>
                <w:b/>
                <w:color w:val="000000" w:themeColor="text1"/>
                <w:sz w:val="24"/>
              </w:rPr>
              <w:t>（万元）</w:t>
            </w:r>
          </w:p>
        </w:tc>
        <w:tc>
          <w:tcPr>
            <w:tcW w:w="2879" w:type="dxa"/>
            <w:gridSpan w:val="3"/>
            <w:tcBorders>
              <w:bottom w:val="single" w:color="auto" w:sz="12" w:space="0"/>
              <w:right w:val="single" w:color="auto" w:sz="4" w:space="0"/>
            </w:tcBorders>
            <w:vAlign w:val="center"/>
          </w:tcPr>
          <w:p>
            <w:pPr>
              <w:snapToGrid w:val="0"/>
              <w:jc w:val="center"/>
              <w:rPr>
                <w:rFonts w:ascii="Times New Roman" w:hAnsi="Times New Roman"/>
                <w:color w:val="000000" w:themeColor="text1"/>
                <w:sz w:val="24"/>
              </w:rPr>
            </w:pPr>
            <w:r>
              <w:rPr>
                <w:rFonts w:ascii="Times New Roman" w:hAnsi="Times New Roman"/>
                <w:color w:val="000000" w:themeColor="text1"/>
                <w:sz w:val="24"/>
              </w:rPr>
              <w:t>1.0</w:t>
            </w:r>
          </w:p>
        </w:tc>
        <w:tc>
          <w:tcPr>
            <w:tcW w:w="1485" w:type="dxa"/>
            <w:tcBorders>
              <w:left w:val="single" w:color="auto" w:sz="4" w:space="0"/>
              <w:bottom w:val="single" w:color="auto" w:sz="12" w:space="0"/>
              <w:right w:val="single" w:color="auto" w:sz="4" w:space="0"/>
            </w:tcBorders>
            <w:vAlign w:val="center"/>
          </w:tcPr>
          <w:p>
            <w:pPr>
              <w:jc w:val="center"/>
              <w:rPr>
                <w:rFonts w:ascii="Times New Roman" w:hAnsi="Times New Roman"/>
                <w:color w:val="000000" w:themeColor="text1"/>
                <w:sz w:val="24"/>
                <w:highlight w:val="yellow"/>
              </w:rPr>
            </w:pPr>
            <w:r>
              <w:rPr>
                <w:rFonts w:hint="eastAsia" w:ascii="Times New Roman" w:hAnsi="宋体"/>
                <w:color w:val="000000" w:themeColor="text1"/>
                <w:sz w:val="24"/>
              </w:rPr>
              <w:t>试投产</w:t>
            </w:r>
            <w:r>
              <w:rPr>
                <w:rFonts w:ascii="Times New Roman" w:hAnsi="宋体"/>
                <w:color w:val="000000" w:themeColor="text1"/>
                <w:sz w:val="24"/>
              </w:rPr>
              <w:t>日期</w:t>
            </w:r>
          </w:p>
        </w:tc>
        <w:tc>
          <w:tcPr>
            <w:tcW w:w="2887" w:type="dxa"/>
            <w:gridSpan w:val="2"/>
            <w:tcBorders>
              <w:left w:val="single" w:color="auto" w:sz="4" w:space="0"/>
              <w:bottom w:val="single" w:color="auto" w:sz="12" w:space="0"/>
            </w:tcBorders>
            <w:vAlign w:val="center"/>
          </w:tcPr>
          <w:p>
            <w:pPr>
              <w:jc w:val="center"/>
              <w:rPr>
                <w:rFonts w:ascii="Times New Roman" w:hAnsi="Times New Roman"/>
                <w:color w:val="000000" w:themeColor="text1"/>
                <w:sz w:val="24"/>
              </w:rPr>
            </w:pPr>
            <w:r>
              <w:rPr>
                <w:rFonts w:ascii="Times New Roman" w:hAnsi="Times New Roman"/>
                <w:color w:val="000000" w:themeColor="text1"/>
                <w:sz w:val="24"/>
              </w:rPr>
              <w:t>20</w:t>
            </w:r>
            <w:r>
              <w:rPr>
                <w:rFonts w:hint="eastAsia" w:ascii="Times New Roman" w:hAnsi="Times New Roman"/>
                <w:color w:val="000000" w:themeColor="text1"/>
                <w:sz w:val="24"/>
              </w:rPr>
              <w:t>17</w:t>
            </w:r>
            <w:r>
              <w:rPr>
                <w:rFonts w:ascii="Times New Roman" w:hAnsi="宋体"/>
                <w:color w:val="000000" w:themeColor="text1"/>
                <w:sz w:val="24"/>
              </w:rPr>
              <w:t>年</w:t>
            </w:r>
            <w:r>
              <w:rPr>
                <w:rFonts w:hint="eastAsia" w:ascii="Times New Roman" w:hAnsi="Times New Roman"/>
                <w:color w:val="000000" w:themeColor="text1"/>
                <w:sz w:val="24"/>
              </w:rPr>
              <w:t>9</w:t>
            </w:r>
            <w:r>
              <w:rPr>
                <w:rFonts w:ascii="Times New Roman" w:hAnsi="宋体"/>
                <w:color w:val="000000" w:themeColor="text1"/>
                <w:sz w:val="24"/>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31" w:hRule="atLeast"/>
          <w:jc w:val="center"/>
        </w:trPr>
        <w:tc>
          <w:tcPr>
            <w:tcW w:w="8865" w:type="dxa"/>
            <w:gridSpan w:val="7"/>
            <w:tcBorders>
              <w:top w:val="single" w:color="auto" w:sz="12" w:space="0"/>
              <w:bottom w:val="single" w:color="auto" w:sz="12" w:space="0"/>
            </w:tcBorders>
          </w:tcPr>
          <w:p>
            <w:pPr>
              <w:spacing w:line="360" w:lineRule="auto"/>
              <w:ind w:firstLine="482" w:firstLineChars="200"/>
              <w:rPr>
                <w:rFonts w:ascii="Times New Roman" w:hAnsi="Times New Roman"/>
                <w:b/>
                <w:color w:val="000000" w:themeColor="text1"/>
                <w:sz w:val="24"/>
                <w:szCs w:val="24"/>
              </w:rPr>
            </w:pPr>
            <w:r>
              <w:rPr>
                <w:rFonts w:ascii="Times New Roman" w:hAnsi="宋体"/>
                <w:b/>
                <w:color w:val="000000" w:themeColor="text1"/>
                <w:sz w:val="24"/>
                <w:szCs w:val="24"/>
              </w:rPr>
              <w:t>一、工程内容及规模</w:t>
            </w:r>
          </w:p>
          <w:p>
            <w:pPr>
              <w:spacing w:line="360" w:lineRule="auto"/>
              <w:ind w:firstLine="482" w:firstLineChars="200"/>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ascii="Times New Roman" w:hAnsi="宋体"/>
                <w:b/>
                <w:color w:val="000000" w:themeColor="text1"/>
                <w:sz w:val="24"/>
                <w:szCs w:val="24"/>
              </w:rPr>
              <w:t>、项目由来</w:t>
            </w:r>
          </w:p>
          <w:p>
            <w:pPr>
              <w:pStyle w:val="48"/>
              <w:rPr>
                <w:rFonts w:hAnsi="宋体"/>
                <w:color w:val="000000" w:themeColor="text1"/>
                <w:lang w:val="en-US" w:eastAsia="zh-CN"/>
              </w:rPr>
            </w:pPr>
            <w:r>
              <w:rPr>
                <w:rFonts w:hAnsi="宋体"/>
                <w:color w:val="000000" w:themeColor="text1"/>
                <w:lang w:val="en-US" w:eastAsia="zh-CN"/>
              </w:rPr>
              <w:t>汕尾市红海湾佳龙</w:t>
            </w:r>
            <w:r>
              <w:rPr>
                <w:rFonts w:hint="eastAsia" w:hAnsi="宋体"/>
                <w:color w:val="000000" w:themeColor="text1"/>
                <w:lang w:val="en-US" w:eastAsia="zh-CN"/>
              </w:rPr>
              <w:t>混凝土</w:t>
            </w:r>
            <w:r>
              <w:rPr>
                <w:rFonts w:hAnsi="宋体"/>
                <w:color w:val="000000" w:themeColor="text1"/>
                <w:lang w:val="en-US" w:eastAsia="zh-CN"/>
              </w:rPr>
              <w:t>有限公司成立于</w:t>
            </w:r>
            <w:r>
              <w:rPr>
                <w:color w:val="000000" w:themeColor="text1"/>
                <w:lang w:val="en-US" w:eastAsia="zh-CN"/>
              </w:rPr>
              <w:t>20</w:t>
            </w:r>
            <w:r>
              <w:rPr>
                <w:rFonts w:hint="eastAsia"/>
                <w:color w:val="000000" w:themeColor="text1"/>
                <w:lang w:val="en-US" w:eastAsia="zh-CN"/>
              </w:rPr>
              <w:t>16</w:t>
            </w:r>
            <w:r>
              <w:rPr>
                <w:rFonts w:hAnsi="宋体"/>
                <w:color w:val="000000" w:themeColor="text1"/>
                <w:lang w:val="en-US" w:eastAsia="zh-CN"/>
              </w:rPr>
              <w:t>年</w:t>
            </w:r>
            <w:r>
              <w:rPr>
                <w:rFonts w:hint="eastAsia"/>
                <w:color w:val="000000" w:themeColor="text1"/>
                <w:lang w:val="en-US" w:eastAsia="zh-CN"/>
              </w:rPr>
              <w:t>12</w:t>
            </w:r>
            <w:r>
              <w:rPr>
                <w:rFonts w:hAnsi="宋体"/>
                <w:color w:val="000000" w:themeColor="text1"/>
                <w:lang w:val="en-US" w:eastAsia="zh-CN"/>
              </w:rPr>
              <w:t>月（统一社会信用代码：</w:t>
            </w:r>
            <w:r>
              <w:rPr>
                <w:rFonts w:hint="eastAsia"/>
                <w:color w:val="000000" w:themeColor="text1"/>
                <w:lang w:val="en-US" w:eastAsia="zh-CN"/>
              </w:rPr>
              <w:t>91441500MA4W442845</w:t>
            </w:r>
            <w:r>
              <w:rPr>
                <w:rFonts w:hAnsi="宋体"/>
                <w:color w:val="000000" w:themeColor="text1"/>
                <w:lang w:val="en-US" w:eastAsia="zh-CN"/>
              </w:rPr>
              <w:t>），选址</w:t>
            </w:r>
            <w:r>
              <w:rPr>
                <w:rFonts w:hint="eastAsia" w:hAnsi="宋体"/>
                <w:color w:val="000000" w:themeColor="text1"/>
                <w:lang w:val="en-US" w:eastAsia="zh-CN"/>
              </w:rPr>
              <w:t>汕尾市</w:t>
            </w:r>
            <w:r>
              <w:rPr>
                <w:rFonts w:hAnsi="宋体"/>
                <w:color w:val="000000" w:themeColor="text1"/>
                <w:lang w:val="en-US" w:eastAsia="zh-CN"/>
              </w:rPr>
              <w:t>红海湾开发区</w:t>
            </w:r>
            <w:r>
              <w:rPr>
                <w:rFonts w:hAnsi="宋体"/>
                <w:color w:val="FF0000"/>
                <w:lang w:val="en-US" w:eastAsia="zh-CN"/>
              </w:rPr>
              <w:t>田墘</w:t>
            </w:r>
            <w:r>
              <w:rPr>
                <w:rFonts w:hAnsi="宋体"/>
                <w:color w:val="000000" w:themeColor="text1"/>
                <w:lang w:val="en-US" w:eastAsia="zh-CN"/>
              </w:rPr>
              <w:t>街道石新村委小马巷村后面荒山坡地</w:t>
            </w:r>
            <w:r>
              <w:rPr>
                <w:rFonts w:hint="eastAsia" w:hAnsi="宋体"/>
                <w:color w:val="000000" w:themeColor="text1"/>
                <w:lang w:val="en-US" w:eastAsia="zh-CN"/>
              </w:rPr>
              <w:t>，</w:t>
            </w:r>
            <w:r>
              <w:rPr>
                <w:rFonts w:hAnsi="宋体"/>
                <w:color w:val="000000" w:themeColor="text1"/>
                <w:lang w:val="en-US" w:eastAsia="zh-CN"/>
              </w:rPr>
              <w:t>与捷胜镇北门村委交界处</w:t>
            </w:r>
            <w:r>
              <w:rPr>
                <w:rFonts w:hint="eastAsia" w:hAnsi="宋体"/>
                <w:color w:val="000000" w:themeColor="text1"/>
                <w:lang w:val="en-US" w:eastAsia="zh-CN"/>
              </w:rPr>
              <w:t>（土地租赁合同见附件2），用地面积约8000平方米，从事商品混凝土、混凝土预制件、预拌砂浆及水泥预制件的生产。</w:t>
            </w:r>
          </w:p>
          <w:p>
            <w:pPr>
              <w:pStyle w:val="48"/>
              <w:rPr>
                <w:color w:val="000000" w:themeColor="text1"/>
                <w:spacing w:val="-6"/>
                <w:lang w:val="en-US" w:eastAsia="zh-CN"/>
              </w:rPr>
            </w:pPr>
            <w:r>
              <w:rPr>
                <w:color w:val="000000" w:themeColor="text1"/>
                <w:spacing w:val="-6"/>
                <w:lang w:val="en-US" w:eastAsia="zh-CN"/>
              </w:rPr>
              <w:t>项目总投资</w:t>
            </w:r>
            <w:r>
              <w:rPr>
                <w:rFonts w:hint="eastAsia"/>
                <w:color w:val="000000" w:themeColor="text1"/>
                <w:spacing w:val="-6"/>
                <w:lang w:val="en-US" w:eastAsia="zh-CN"/>
              </w:rPr>
              <w:t>2500万元，占地面积8000平方米，其中拟建办公室10间、宿舍20间、食堂（占地面积500平方米），材料仓、实验室、养护室（占地面积400平方米），厂房一座（占地面积900平方米），料场（占地面积3500平方米），绿化面积（2000平方米），项目于2017年6月取得《临时工程许可证》（见附件3）。</w:t>
            </w:r>
          </w:p>
          <w:p>
            <w:pPr>
              <w:pStyle w:val="48"/>
              <w:rPr>
                <w:rFonts w:hAnsi="宋体"/>
                <w:color w:val="000000" w:themeColor="text1"/>
                <w:lang w:val="en-US" w:eastAsia="zh-CN"/>
              </w:rPr>
            </w:pPr>
            <w:r>
              <w:rPr>
                <w:rFonts w:hAnsi="宋体"/>
                <w:color w:val="000000" w:themeColor="text1"/>
                <w:spacing w:val="-2"/>
                <w:lang w:val="en-US" w:eastAsia="zh-CN"/>
              </w:rPr>
              <w:t>根据《中华人民共和国环境影响评价法》以及国家环保部《建设项目环境影响评价分类管理名录》（</w:t>
            </w:r>
            <w:r>
              <w:rPr>
                <w:color w:val="000000" w:themeColor="text1"/>
                <w:spacing w:val="-2"/>
                <w:lang w:val="en-US" w:eastAsia="zh-CN"/>
              </w:rPr>
              <w:t>2015</w:t>
            </w:r>
            <w:r>
              <w:rPr>
                <w:rFonts w:hAnsi="宋体"/>
                <w:color w:val="000000" w:themeColor="text1"/>
                <w:spacing w:val="-2"/>
                <w:lang w:val="en-US" w:eastAsia="zh-CN"/>
              </w:rPr>
              <w:t>年）的规定，该项目需进行环境影响评价，并提交环境影响评价报告表。受</w:t>
            </w:r>
            <w:r>
              <w:rPr>
                <w:rFonts w:hAnsi="宋体"/>
                <w:color w:val="000000" w:themeColor="text1"/>
                <w:lang w:val="en-US" w:eastAsia="zh-CN"/>
              </w:rPr>
              <w:t>汕尾市红海湾佳龙</w:t>
            </w:r>
            <w:r>
              <w:rPr>
                <w:rFonts w:hint="eastAsia" w:hAnsi="宋体"/>
                <w:color w:val="000000" w:themeColor="text1"/>
                <w:lang w:val="en-US" w:eastAsia="zh-CN"/>
              </w:rPr>
              <w:t>混凝土</w:t>
            </w:r>
            <w:r>
              <w:rPr>
                <w:rFonts w:hAnsi="宋体"/>
                <w:color w:val="000000" w:themeColor="text1"/>
                <w:lang w:val="en-US" w:eastAsia="zh-CN"/>
              </w:rPr>
              <w:t>有限公司</w:t>
            </w:r>
            <w:r>
              <w:rPr>
                <w:rFonts w:hAnsi="宋体"/>
                <w:color w:val="000000" w:themeColor="text1"/>
                <w:spacing w:val="-2"/>
                <w:lang w:val="en-US" w:eastAsia="zh-CN"/>
              </w:rPr>
              <w:t>的委托，</w:t>
            </w:r>
            <w:r>
              <w:rPr>
                <w:rFonts w:hint="eastAsia" w:hAnsi="宋体"/>
                <w:color w:val="000000" w:themeColor="text1"/>
                <w:lang w:val="en-US" w:eastAsia="zh-CN"/>
              </w:rPr>
              <w:t>深圳市景泰荣环保科技有限公司</w:t>
            </w:r>
            <w:r>
              <w:rPr>
                <w:rFonts w:hAnsi="宋体"/>
                <w:color w:val="000000" w:themeColor="text1"/>
                <w:spacing w:val="-2"/>
                <w:lang w:val="en-US" w:eastAsia="zh-CN"/>
              </w:rPr>
              <w:t>承担了该项目环境影响报告表的编</w:t>
            </w:r>
            <w:r>
              <w:rPr>
                <w:rFonts w:hAnsi="宋体"/>
                <w:color w:val="000000" w:themeColor="text1"/>
                <w:lang w:val="en-US" w:eastAsia="zh-CN"/>
              </w:rPr>
              <w:t>制工作。</w:t>
            </w:r>
          </w:p>
          <w:p>
            <w:pPr>
              <w:spacing w:line="360" w:lineRule="auto"/>
              <w:ind w:firstLine="482" w:firstLineChars="200"/>
              <w:rPr>
                <w:rFonts w:ascii="Times New Roman" w:hAnsi="Times New Roman"/>
                <w:b/>
                <w:snapToGrid w:val="0"/>
                <w:color w:val="000000"/>
                <w:kern w:val="0"/>
                <w:sz w:val="24"/>
                <w:szCs w:val="24"/>
              </w:rPr>
            </w:pPr>
            <w:r>
              <w:rPr>
                <w:rFonts w:ascii="Times New Roman" w:hAnsi="Times New Roman"/>
                <w:b/>
                <w:snapToGrid w:val="0"/>
                <w:color w:val="000000"/>
                <w:kern w:val="0"/>
                <w:sz w:val="24"/>
                <w:szCs w:val="24"/>
              </w:rPr>
              <w:t>2</w:t>
            </w:r>
            <w:r>
              <w:rPr>
                <w:rFonts w:ascii="Times New Roman" w:hAnsi="宋体"/>
                <w:b/>
                <w:snapToGrid w:val="0"/>
                <w:color w:val="000000"/>
                <w:kern w:val="0"/>
                <w:sz w:val="24"/>
                <w:szCs w:val="24"/>
              </w:rPr>
              <w:t>、产品产量</w:t>
            </w:r>
          </w:p>
          <w:p>
            <w:pPr>
              <w:adjustRightInd w:val="0"/>
              <w:spacing w:line="360" w:lineRule="auto"/>
              <w:ind w:firstLine="425"/>
              <w:jc w:val="center"/>
              <w:textAlignment w:val="baseline"/>
              <w:rPr>
                <w:rFonts w:ascii="Times New Roman" w:hAnsi="Times New Roman"/>
                <w:b/>
                <w:color w:val="000000"/>
                <w:kern w:val="0"/>
                <w:sz w:val="24"/>
              </w:rPr>
            </w:pPr>
            <w:r>
              <w:rPr>
                <w:rFonts w:ascii="Times New Roman" w:hAnsi="宋体"/>
                <w:b/>
                <w:color w:val="000000"/>
                <w:kern w:val="0"/>
                <w:sz w:val="24"/>
                <w:szCs w:val="24"/>
              </w:rPr>
              <w:t>表</w:t>
            </w:r>
            <w:r>
              <w:rPr>
                <w:rFonts w:ascii="Times New Roman" w:hAnsi="Times New Roman"/>
                <w:b/>
                <w:color w:val="000000"/>
                <w:kern w:val="0"/>
                <w:sz w:val="24"/>
                <w:szCs w:val="24"/>
              </w:rPr>
              <w:t xml:space="preserve">1  </w:t>
            </w:r>
            <w:r>
              <w:rPr>
                <w:rFonts w:ascii="Times New Roman" w:hAnsi="宋体"/>
                <w:b/>
                <w:color w:val="000000"/>
                <w:kern w:val="0"/>
                <w:sz w:val="24"/>
                <w:szCs w:val="24"/>
              </w:rPr>
              <w:t>产品产量</w:t>
            </w:r>
          </w:p>
          <w:tbl>
            <w:tblPr>
              <w:tblStyle w:val="27"/>
              <w:tblW w:w="806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13"/>
              <w:gridCol w:w="2380"/>
              <w:gridCol w:w="2108"/>
              <w:gridCol w:w="16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913" w:type="dxa"/>
                  <w:vAlign w:val="center"/>
                </w:tcPr>
                <w:p>
                  <w:pPr>
                    <w:tabs>
                      <w:tab w:val="left" w:pos="-2848"/>
                    </w:tabs>
                    <w:jc w:val="center"/>
                    <w:rPr>
                      <w:rFonts w:ascii="Times New Roman" w:hAnsi="Times New Roman"/>
                      <w:b/>
                      <w:color w:val="000000"/>
                      <w:position w:val="-10"/>
                      <w:szCs w:val="21"/>
                    </w:rPr>
                  </w:pPr>
                  <w:r>
                    <w:rPr>
                      <w:rFonts w:ascii="Times New Roman" w:hAnsi="宋体"/>
                      <w:b/>
                      <w:color w:val="000000"/>
                      <w:position w:val="-10"/>
                      <w:szCs w:val="21"/>
                    </w:rPr>
                    <w:t>序号</w:t>
                  </w:r>
                </w:p>
              </w:tc>
              <w:tc>
                <w:tcPr>
                  <w:tcW w:w="2380" w:type="dxa"/>
                  <w:vAlign w:val="center"/>
                </w:tcPr>
                <w:p>
                  <w:pPr>
                    <w:tabs>
                      <w:tab w:val="left" w:pos="-2848"/>
                    </w:tabs>
                    <w:jc w:val="center"/>
                    <w:rPr>
                      <w:rFonts w:ascii="Times New Roman" w:hAnsi="Times New Roman"/>
                      <w:b/>
                      <w:color w:val="000000"/>
                      <w:position w:val="-10"/>
                      <w:szCs w:val="21"/>
                    </w:rPr>
                  </w:pPr>
                  <w:r>
                    <w:rPr>
                      <w:rFonts w:ascii="Times New Roman" w:hAnsi="宋体"/>
                      <w:b/>
                      <w:color w:val="000000"/>
                      <w:position w:val="-10"/>
                      <w:szCs w:val="21"/>
                    </w:rPr>
                    <w:t>名称</w:t>
                  </w:r>
                </w:p>
              </w:tc>
              <w:tc>
                <w:tcPr>
                  <w:tcW w:w="2108" w:type="dxa"/>
                  <w:vAlign w:val="center"/>
                </w:tcPr>
                <w:p>
                  <w:pPr>
                    <w:tabs>
                      <w:tab w:val="left" w:pos="-2848"/>
                    </w:tabs>
                    <w:jc w:val="center"/>
                    <w:rPr>
                      <w:rFonts w:ascii="Times New Roman" w:hAnsi="Times New Roman"/>
                      <w:b/>
                      <w:color w:val="000000"/>
                      <w:position w:val="-10"/>
                      <w:szCs w:val="21"/>
                    </w:rPr>
                  </w:pPr>
                  <w:r>
                    <w:rPr>
                      <w:rFonts w:ascii="Times New Roman" w:hAnsi="宋体"/>
                      <w:b/>
                      <w:color w:val="000000"/>
                      <w:position w:val="-10"/>
                      <w:szCs w:val="21"/>
                    </w:rPr>
                    <w:t>年产量</w:t>
                  </w:r>
                </w:p>
              </w:tc>
              <w:tc>
                <w:tcPr>
                  <w:tcW w:w="1660" w:type="dxa"/>
                  <w:vAlign w:val="center"/>
                </w:tcPr>
                <w:p>
                  <w:pPr>
                    <w:tabs>
                      <w:tab w:val="left" w:pos="-2848"/>
                    </w:tabs>
                    <w:jc w:val="center"/>
                    <w:rPr>
                      <w:rFonts w:ascii="Times New Roman" w:hAnsi="Times New Roman"/>
                      <w:b/>
                      <w:color w:val="000000"/>
                      <w:position w:val="-10"/>
                      <w:szCs w:val="21"/>
                    </w:rPr>
                  </w:pPr>
                  <w:r>
                    <w:rPr>
                      <w:rFonts w:ascii="Times New Roman" w:hAnsi="宋体"/>
                      <w:b/>
                      <w:color w:val="000000"/>
                      <w:position w:val="-10"/>
                      <w:szCs w:val="21"/>
                    </w:rPr>
                    <w:t>年运行时数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44" w:hRule="exact"/>
                <w:jc w:val="center"/>
              </w:trPr>
              <w:tc>
                <w:tcPr>
                  <w:tcW w:w="1913" w:type="dxa"/>
                  <w:vAlign w:val="center"/>
                </w:tcPr>
                <w:p>
                  <w:pPr>
                    <w:tabs>
                      <w:tab w:val="left" w:pos="-2848"/>
                    </w:tabs>
                    <w:jc w:val="center"/>
                    <w:rPr>
                      <w:rFonts w:ascii="Times New Roman" w:hAnsi="Times New Roman"/>
                      <w:color w:val="000000"/>
                      <w:position w:val="-10"/>
                      <w:szCs w:val="21"/>
                    </w:rPr>
                  </w:pPr>
                  <w:r>
                    <w:rPr>
                      <w:rFonts w:ascii="Times New Roman" w:hAnsi="Times New Roman"/>
                      <w:color w:val="000000"/>
                      <w:position w:val="-10"/>
                      <w:szCs w:val="21"/>
                    </w:rPr>
                    <w:t>1</w:t>
                  </w:r>
                </w:p>
              </w:tc>
              <w:tc>
                <w:tcPr>
                  <w:tcW w:w="2380" w:type="dxa"/>
                  <w:vAlign w:val="center"/>
                </w:tcPr>
                <w:p>
                  <w:pPr>
                    <w:jc w:val="center"/>
                    <w:rPr>
                      <w:rFonts w:ascii="Times New Roman" w:hAnsi="Times New Roman"/>
                      <w:color w:val="000000"/>
                      <w:szCs w:val="21"/>
                    </w:rPr>
                  </w:pPr>
                  <w:r>
                    <w:rPr>
                      <w:rFonts w:hint="eastAsia" w:hAnsi="宋体"/>
                      <w:color w:val="000000" w:themeColor="text1"/>
                    </w:rPr>
                    <w:t>商品</w:t>
                  </w:r>
                  <w:r>
                    <w:rPr>
                      <w:rFonts w:hint="eastAsia" w:hAnsi="宋体"/>
                      <w:color w:val="000000" w:themeColor="text1"/>
                      <w:lang w:eastAsia="zh-CN"/>
                    </w:rPr>
                    <w:t>混凝土</w:t>
                  </w:r>
                  <w:r>
                    <w:rPr>
                      <w:rFonts w:hint="eastAsia" w:hAnsi="宋体"/>
                      <w:color w:val="000000" w:themeColor="text1"/>
                    </w:rPr>
                    <w:t>、</w:t>
                  </w:r>
                  <w:r>
                    <w:rPr>
                      <w:rFonts w:hint="eastAsia" w:hAnsi="宋体"/>
                      <w:color w:val="000000" w:themeColor="text1"/>
                      <w:lang w:eastAsia="zh-CN"/>
                    </w:rPr>
                    <w:t>混凝土</w:t>
                  </w:r>
                  <w:r>
                    <w:rPr>
                      <w:rFonts w:hint="eastAsia" w:hAnsi="宋体"/>
                      <w:color w:val="000000" w:themeColor="text1"/>
                    </w:rPr>
                    <w:t>预制件、预拌砂浆及水泥预制件</w:t>
                  </w:r>
                </w:p>
              </w:tc>
              <w:tc>
                <w:tcPr>
                  <w:tcW w:w="2108" w:type="dxa"/>
                  <w:vAlign w:val="center"/>
                </w:tcPr>
                <w:p>
                  <w:pPr>
                    <w:jc w:val="center"/>
                    <w:rPr>
                      <w:rFonts w:ascii="Times New Roman" w:hAnsi="Times New Roman"/>
                      <w:color w:val="000000"/>
                      <w:szCs w:val="21"/>
                    </w:rPr>
                  </w:pPr>
                  <w:r>
                    <w:rPr>
                      <w:rFonts w:hint="eastAsia" w:ascii="Times New Roman" w:hAnsi="Times New Roman"/>
                      <w:color w:val="000000"/>
                      <w:szCs w:val="21"/>
                    </w:rPr>
                    <w:t>130</w:t>
                  </w:r>
                  <w:r>
                    <w:rPr>
                      <w:rFonts w:ascii="Times New Roman" w:hAnsi="Times New Roman"/>
                      <w:color w:val="000000"/>
                      <w:szCs w:val="21"/>
                    </w:rPr>
                    <w:t>万m</w:t>
                  </w:r>
                  <w:r>
                    <w:rPr>
                      <w:rFonts w:ascii="Times New Roman" w:hAnsi="Times New Roman"/>
                      <w:color w:val="000000"/>
                      <w:szCs w:val="21"/>
                      <w:vertAlign w:val="superscript"/>
                    </w:rPr>
                    <w:t>3</w:t>
                  </w:r>
                </w:p>
              </w:tc>
              <w:tc>
                <w:tcPr>
                  <w:tcW w:w="1660" w:type="dxa"/>
                  <w:vAlign w:val="center"/>
                </w:tcPr>
                <w:p>
                  <w:pPr>
                    <w:tabs>
                      <w:tab w:val="left" w:pos="-2848"/>
                    </w:tabs>
                    <w:jc w:val="center"/>
                    <w:rPr>
                      <w:rFonts w:ascii="Times New Roman" w:hAnsi="Times New Roman"/>
                      <w:color w:val="000000"/>
                      <w:position w:val="-10"/>
                      <w:szCs w:val="21"/>
                    </w:rPr>
                  </w:pPr>
                  <w:r>
                    <w:rPr>
                      <w:rFonts w:ascii="Times New Roman" w:hAnsi="Times New Roman"/>
                      <w:color w:val="000000"/>
                      <w:position w:val="-10"/>
                      <w:szCs w:val="21"/>
                    </w:rPr>
                    <w:t>2400h</w:t>
                  </w:r>
                </w:p>
              </w:tc>
            </w:tr>
          </w:tbl>
          <w:p>
            <w:pPr>
              <w:spacing w:beforeLines="50" w:line="360" w:lineRule="auto"/>
              <w:ind w:firstLine="482" w:firstLineChars="200"/>
              <w:rPr>
                <w:rFonts w:ascii="Times New Roman" w:hAnsi="Times New Roman"/>
                <w:b/>
                <w:snapToGrid w:val="0"/>
                <w:color w:val="000000"/>
                <w:kern w:val="0"/>
                <w:sz w:val="24"/>
                <w:szCs w:val="24"/>
              </w:rPr>
            </w:pPr>
            <w:r>
              <w:rPr>
                <w:rFonts w:ascii="Times New Roman" w:hAnsi="Times New Roman"/>
                <w:b/>
                <w:snapToGrid w:val="0"/>
                <w:color w:val="000000"/>
                <w:kern w:val="0"/>
                <w:sz w:val="24"/>
                <w:szCs w:val="24"/>
              </w:rPr>
              <w:t>3</w:t>
            </w:r>
            <w:r>
              <w:rPr>
                <w:rFonts w:ascii="Times New Roman" w:hAnsi="宋体"/>
                <w:b/>
                <w:snapToGrid w:val="0"/>
                <w:color w:val="000000"/>
                <w:kern w:val="0"/>
                <w:sz w:val="24"/>
                <w:szCs w:val="24"/>
              </w:rPr>
              <w:t>、主要原料</w:t>
            </w:r>
            <w:r>
              <w:rPr>
                <w:rFonts w:ascii="Times New Roman" w:hAnsi="Times New Roman"/>
                <w:b/>
                <w:snapToGrid w:val="0"/>
                <w:color w:val="000000"/>
                <w:kern w:val="0"/>
                <w:sz w:val="24"/>
                <w:szCs w:val="24"/>
              </w:rPr>
              <w:t>/</w:t>
            </w:r>
            <w:r>
              <w:rPr>
                <w:rFonts w:ascii="Times New Roman" w:hAnsi="宋体"/>
                <w:b/>
                <w:snapToGrid w:val="0"/>
                <w:color w:val="000000"/>
                <w:kern w:val="0"/>
                <w:sz w:val="24"/>
                <w:szCs w:val="24"/>
              </w:rPr>
              <w:t>辅料</w:t>
            </w:r>
          </w:p>
          <w:p>
            <w:pPr>
              <w:adjustRightInd w:val="0"/>
              <w:spacing w:line="360" w:lineRule="auto"/>
              <w:ind w:firstLine="425"/>
              <w:jc w:val="center"/>
              <w:textAlignment w:val="baseline"/>
              <w:rPr>
                <w:rFonts w:ascii="Times New Roman" w:hAnsi="Times New Roman"/>
                <w:b/>
                <w:color w:val="000000"/>
                <w:kern w:val="0"/>
                <w:sz w:val="24"/>
                <w:szCs w:val="24"/>
              </w:rPr>
            </w:pPr>
            <w:r>
              <w:rPr>
                <w:rFonts w:ascii="Times New Roman" w:hAnsi="宋体"/>
                <w:b/>
                <w:color w:val="000000"/>
                <w:kern w:val="0"/>
                <w:sz w:val="24"/>
                <w:szCs w:val="24"/>
              </w:rPr>
              <w:t>表</w:t>
            </w:r>
            <w:r>
              <w:rPr>
                <w:rFonts w:ascii="Times New Roman" w:hAnsi="Times New Roman"/>
                <w:b/>
                <w:color w:val="000000"/>
                <w:kern w:val="0"/>
                <w:sz w:val="24"/>
                <w:szCs w:val="24"/>
              </w:rPr>
              <w:t xml:space="preserve">2  </w:t>
            </w:r>
            <w:r>
              <w:rPr>
                <w:rFonts w:ascii="Times New Roman" w:hAnsi="宋体"/>
                <w:b/>
                <w:color w:val="000000"/>
                <w:kern w:val="0"/>
                <w:sz w:val="24"/>
                <w:szCs w:val="24"/>
              </w:rPr>
              <w:t>原料</w:t>
            </w:r>
            <w:r>
              <w:rPr>
                <w:rFonts w:ascii="Times New Roman" w:hAnsi="Times New Roman"/>
                <w:b/>
                <w:color w:val="000000"/>
                <w:kern w:val="0"/>
                <w:sz w:val="24"/>
                <w:szCs w:val="24"/>
              </w:rPr>
              <w:t>/</w:t>
            </w:r>
            <w:r>
              <w:rPr>
                <w:rFonts w:ascii="Times New Roman" w:hAnsi="宋体"/>
                <w:b/>
                <w:color w:val="000000"/>
                <w:kern w:val="0"/>
                <w:sz w:val="24"/>
                <w:szCs w:val="24"/>
              </w:rPr>
              <w:t>辅料用量</w:t>
            </w:r>
          </w:p>
          <w:tbl>
            <w:tblPr>
              <w:tblStyle w:val="27"/>
              <w:tblW w:w="7938" w:type="dxa"/>
              <w:jc w:val="center"/>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2837"/>
              <w:gridCol w:w="2353"/>
              <w:gridCol w:w="17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008"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类别</w:t>
                  </w:r>
                </w:p>
              </w:tc>
              <w:tc>
                <w:tcPr>
                  <w:tcW w:w="2837"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名称</w:t>
                  </w:r>
                </w:p>
              </w:tc>
              <w:tc>
                <w:tcPr>
                  <w:tcW w:w="2353" w:type="dxa"/>
                  <w:tcBorders>
                    <w:bottom w:val="single" w:color="auto" w:sz="4" w:space="0"/>
                  </w:tcBorders>
                  <w:vAlign w:val="center"/>
                </w:tcPr>
                <w:p>
                  <w:pPr>
                    <w:snapToGrid w:val="0"/>
                    <w:jc w:val="center"/>
                    <w:rPr>
                      <w:rFonts w:ascii="Times New Roman" w:hAnsi="Times New Roman"/>
                      <w:b/>
                      <w:bCs/>
                      <w:color w:val="000000"/>
                      <w:szCs w:val="21"/>
                    </w:rPr>
                  </w:pPr>
                  <w:r>
                    <w:rPr>
                      <w:rFonts w:ascii="Times New Roman" w:hAnsi="Times New Roman"/>
                      <w:b/>
                      <w:bCs/>
                      <w:color w:val="000000"/>
                      <w:szCs w:val="21"/>
                    </w:rPr>
                    <w:t>重要组分、规格、指标</w:t>
                  </w:r>
                </w:p>
              </w:tc>
              <w:tc>
                <w:tcPr>
                  <w:tcW w:w="1740" w:type="dxa"/>
                  <w:tcBorders>
                    <w:bottom w:val="single" w:color="auto" w:sz="4" w:space="0"/>
                  </w:tcBorders>
                  <w:vAlign w:val="center"/>
                </w:tcPr>
                <w:p>
                  <w:pPr>
                    <w:snapToGrid w:val="0"/>
                    <w:jc w:val="center"/>
                    <w:rPr>
                      <w:rFonts w:ascii="Times New Roman" w:hAnsi="Times New Roman"/>
                      <w:b/>
                      <w:bCs/>
                      <w:color w:val="000000"/>
                      <w:szCs w:val="21"/>
                    </w:rPr>
                  </w:pPr>
                  <w:r>
                    <w:rPr>
                      <w:rFonts w:ascii="Times New Roman" w:hAnsi="Times New Roman"/>
                      <w:b/>
                      <w:bCs/>
                      <w:color w:val="000000"/>
                      <w:szCs w:val="21"/>
                    </w:rPr>
                    <w:t>年耗量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008" w:type="dxa"/>
                  <w:vMerge w:val="restart"/>
                  <w:vAlign w:val="center"/>
                </w:tcPr>
                <w:p>
                  <w:pPr>
                    <w:jc w:val="center"/>
                    <w:rPr>
                      <w:rFonts w:ascii="Times New Roman" w:hAnsi="Times New Roman"/>
                      <w:bCs/>
                      <w:color w:val="000000"/>
                      <w:szCs w:val="21"/>
                    </w:rPr>
                  </w:pPr>
                  <w:r>
                    <w:rPr>
                      <w:rFonts w:ascii="Times New Roman" w:hAnsi="宋体"/>
                      <w:bCs/>
                      <w:color w:val="000000"/>
                      <w:szCs w:val="21"/>
                    </w:rPr>
                    <w:t>原料</w:t>
                  </w:r>
                </w:p>
              </w:tc>
              <w:tc>
                <w:tcPr>
                  <w:tcW w:w="2837" w:type="dxa"/>
                  <w:tcBorders>
                    <w:bottom w:val="single" w:color="auto" w:sz="4" w:space="0"/>
                  </w:tcBorders>
                  <w:vAlign w:val="center"/>
                </w:tcPr>
                <w:p>
                  <w:pPr>
                    <w:jc w:val="center"/>
                    <w:rPr>
                      <w:rFonts w:ascii="Times New Roman" w:hAnsi="Times New Roman"/>
                      <w:color w:val="000000"/>
                      <w:szCs w:val="21"/>
                    </w:rPr>
                  </w:pPr>
                  <w:r>
                    <w:rPr>
                      <w:rFonts w:ascii="Times New Roman" w:hAnsi="宋体"/>
                      <w:color w:val="000000"/>
                      <w:szCs w:val="21"/>
                    </w:rPr>
                    <w:t>石子</w:t>
                  </w:r>
                </w:p>
              </w:tc>
              <w:tc>
                <w:tcPr>
                  <w:tcW w:w="2353" w:type="dxa"/>
                  <w:tcBorders>
                    <w:bottom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w:t>
                  </w:r>
                </w:p>
              </w:tc>
              <w:tc>
                <w:tcPr>
                  <w:tcW w:w="1740" w:type="dxa"/>
                  <w:tcBorders>
                    <w:bottom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120</w:t>
                  </w:r>
                  <w:r>
                    <w:rPr>
                      <w:rFonts w:ascii="Times New Roman" w:hAnsi="宋体"/>
                      <w:color w:val="000000"/>
                      <w:szCs w:val="21"/>
                    </w:rPr>
                    <w:t>万吨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008" w:type="dxa"/>
                  <w:vMerge w:val="continue"/>
                  <w:vAlign w:val="center"/>
                </w:tcPr>
                <w:p>
                  <w:pPr>
                    <w:jc w:val="center"/>
                    <w:rPr>
                      <w:rFonts w:ascii="Times New Roman" w:hAnsi="Times New Roman"/>
                      <w:bCs/>
                      <w:color w:val="000000"/>
                      <w:szCs w:val="21"/>
                    </w:rPr>
                  </w:pPr>
                </w:p>
              </w:tc>
              <w:tc>
                <w:tcPr>
                  <w:tcW w:w="2837" w:type="dxa"/>
                  <w:vAlign w:val="center"/>
                </w:tcPr>
                <w:p>
                  <w:pPr>
                    <w:jc w:val="center"/>
                    <w:rPr>
                      <w:rFonts w:ascii="Times New Roman" w:hAnsi="Times New Roman"/>
                      <w:color w:val="000000"/>
                      <w:szCs w:val="21"/>
                    </w:rPr>
                  </w:pPr>
                  <w:r>
                    <w:rPr>
                      <w:rFonts w:ascii="Times New Roman" w:hAnsi="宋体"/>
                      <w:color w:val="000000"/>
                      <w:szCs w:val="21"/>
                    </w:rPr>
                    <w:t>沙子</w:t>
                  </w:r>
                </w:p>
              </w:tc>
              <w:tc>
                <w:tcPr>
                  <w:tcW w:w="2353" w:type="dxa"/>
                  <w:vAlign w:val="center"/>
                </w:tcPr>
                <w:p>
                  <w:pPr>
                    <w:jc w:val="center"/>
                    <w:rPr>
                      <w:rFonts w:ascii="Times New Roman" w:hAnsi="Times New Roman"/>
                      <w:color w:val="000000"/>
                      <w:szCs w:val="21"/>
                    </w:rPr>
                  </w:pPr>
                  <w:r>
                    <w:rPr>
                      <w:rFonts w:ascii="Times New Roman" w:hAnsi="Times New Roman"/>
                      <w:color w:val="000000"/>
                      <w:szCs w:val="21"/>
                    </w:rPr>
                    <w:t>——</w:t>
                  </w:r>
                </w:p>
              </w:tc>
              <w:tc>
                <w:tcPr>
                  <w:tcW w:w="1740" w:type="dxa"/>
                  <w:vAlign w:val="center"/>
                </w:tcPr>
                <w:p>
                  <w:pPr>
                    <w:jc w:val="center"/>
                    <w:rPr>
                      <w:rFonts w:ascii="Times New Roman" w:hAnsi="Times New Roman"/>
                      <w:color w:val="000000"/>
                      <w:szCs w:val="21"/>
                    </w:rPr>
                  </w:pPr>
                  <w:r>
                    <w:rPr>
                      <w:rFonts w:hint="eastAsia" w:ascii="Times New Roman" w:hAnsi="Times New Roman"/>
                      <w:color w:val="000000"/>
                      <w:szCs w:val="21"/>
                    </w:rPr>
                    <w:t>64</w:t>
                  </w:r>
                  <w:r>
                    <w:rPr>
                      <w:rFonts w:ascii="Times New Roman" w:hAnsi="宋体"/>
                      <w:color w:val="000000"/>
                      <w:szCs w:val="21"/>
                    </w:rPr>
                    <w:t>万吨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008" w:type="dxa"/>
                  <w:vMerge w:val="continue"/>
                  <w:vAlign w:val="center"/>
                </w:tcPr>
                <w:p>
                  <w:pPr>
                    <w:jc w:val="center"/>
                    <w:rPr>
                      <w:rFonts w:ascii="Times New Roman" w:hAnsi="Times New Roman"/>
                      <w:bCs/>
                      <w:color w:val="000000"/>
                      <w:szCs w:val="21"/>
                    </w:rPr>
                  </w:pPr>
                </w:p>
              </w:tc>
              <w:tc>
                <w:tcPr>
                  <w:tcW w:w="2837" w:type="dxa"/>
                  <w:vAlign w:val="center"/>
                </w:tcPr>
                <w:p>
                  <w:pPr>
                    <w:jc w:val="center"/>
                    <w:rPr>
                      <w:rFonts w:ascii="Times New Roman" w:hAnsi="Times New Roman"/>
                      <w:color w:val="000000"/>
                      <w:szCs w:val="21"/>
                    </w:rPr>
                  </w:pPr>
                  <w:r>
                    <w:rPr>
                      <w:rFonts w:ascii="Times New Roman" w:hAnsi="宋体"/>
                      <w:color w:val="000000"/>
                      <w:szCs w:val="21"/>
                    </w:rPr>
                    <w:t>水泥</w:t>
                  </w:r>
                </w:p>
              </w:tc>
              <w:tc>
                <w:tcPr>
                  <w:tcW w:w="2353" w:type="dxa"/>
                  <w:vAlign w:val="center"/>
                </w:tcPr>
                <w:p>
                  <w:pPr>
                    <w:jc w:val="center"/>
                    <w:rPr>
                      <w:rFonts w:ascii="Times New Roman" w:hAnsi="Times New Roman"/>
                      <w:color w:val="000000"/>
                      <w:szCs w:val="21"/>
                    </w:rPr>
                  </w:pPr>
                  <w:r>
                    <w:rPr>
                      <w:rFonts w:ascii="Times New Roman" w:hAnsi="Times New Roman"/>
                      <w:color w:val="000000"/>
                      <w:szCs w:val="21"/>
                    </w:rPr>
                    <w:t>——</w:t>
                  </w:r>
                </w:p>
              </w:tc>
              <w:tc>
                <w:tcPr>
                  <w:tcW w:w="1740" w:type="dxa"/>
                  <w:vAlign w:val="center"/>
                </w:tcPr>
                <w:p>
                  <w:pPr>
                    <w:jc w:val="center"/>
                    <w:rPr>
                      <w:rFonts w:ascii="Times New Roman" w:hAnsi="Times New Roman"/>
                      <w:color w:val="000000"/>
                      <w:szCs w:val="21"/>
                    </w:rPr>
                  </w:pPr>
                  <w:r>
                    <w:rPr>
                      <w:rFonts w:hint="eastAsia" w:ascii="Times New Roman" w:hAnsi="Times New Roman"/>
                      <w:color w:val="000000"/>
                      <w:szCs w:val="21"/>
                    </w:rPr>
                    <w:t>27</w:t>
                  </w:r>
                  <w:r>
                    <w:rPr>
                      <w:rFonts w:ascii="Times New Roman" w:hAnsi="宋体"/>
                      <w:color w:val="000000"/>
                      <w:szCs w:val="21"/>
                    </w:rPr>
                    <w:t>万吨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008" w:type="dxa"/>
                  <w:vMerge w:val="continue"/>
                  <w:vAlign w:val="center"/>
                </w:tcPr>
                <w:p>
                  <w:pPr>
                    <w:jc w:val="center"/>
                    <w:rPr>
                      <w:rFonts w:ascii="Times New Roman" w:hAnsi="Times New Roman"/>
                      <w:bCs/>
                      <w:color w:val="000000"/>
                      <w:szCs w:val="21"/>
                    </w:rPr>
                  </w:pPr>
                </w:p>
              </w:tc>
              <w:tc>
                <w:tcPr>
                  <w:tcW w:w="2837" w:type="dxa"/>
                  <w:vAlign w:val="center"/>
                </w:tcPr>
                <w:p>
                  <w:pPr>
                    <w:jc w:val="center"/>
                    <w:rPr>
                      <w:rFonts w:ascii="Times New Roman" w:hAnsi="Times New Roman"/>
                      <w:color w:val="000000"/>
                      <w:szCs w:val="21"/>
                    </w:rPr>
                  </w:pPr>
                  <w:r>
                    <w:rPr>
                      <w:rFonts w:ascii="Times New Roman" w:hAnsi="宋体"/>
                      <w:color w:val="000000"/>
                      <w:szCs w:val="21"/>
                    </w:rPr>
                    <w:t>粉煤灰</w:t>
                  </w:r>
                </w:p>
              </w:tc>
              <w:tc>
                <w:tcPr>
                  <w:tcW w:w="2353" w:type="dxa"/>
                  <w:vAlign w:val="center"/>
                </w:tcPr>
                <w:p>
                  <w:pPr>
                    <w:jc w:val="center"/>
                    <w:rPr>
                      <w:rFonts w:ascii="Times New Roman" w:hAnsi="Times New Roman"/>
                      <w:color w:val="000000"/>
                      <w:szCs w:val="21"/>
                    </w:rPr>
                  </w:pPr>
                  <w:r>
                    <w:rPr>
                      <w:rFonts w:ascii="Times New Roman" w:hAnsi="Times New Roman"/>
                      <w:color w:val="000000"/>
                      <w:szCs w:val="21"/>
                    </w:rPr>
                    <w:t>——</w:t>
                  </w:r>
                </w:p>
              </w:tc>
              <w:tc>
                <w:tcPr>
                  <w:tcW w:w="1740" w:type="dxa"/>
                  <w:vAlign w:val="center"/>
                </w:tcPr>
                <w:p>
                  <w:pPr>
                    <w:jc w:val="center"/>
                    <w:rPr>
                      <w:rFonts w:ascii="Times New Roman" w:hAnsi="Times New Roman"/>
                      <w:color w:val="000000"/>
                      <w:szCs w:val="21"/>
                    </w:rPr>
                  </w:pPr>
                  <w:r>
                    <w:rPr>
                      <w:rFonts w:hint="eastAsia" w:ascii="Times New Roman" w:hAnsi="Times New Roman"/>
                      <w:color w:val="000000"/>
                      <w:szCs w:val="21"/>
                    </w:rPr>
                    <w:t>9</w:t>
                  </w:r>
                  <w:r>
                    <w:rPr>
                      <w:rFonts w:ascii="Times New Roman" w:hAnsi="宋体"/>
                      <w:color w:val="000000"/>
                      <w:szCs w:val="21"/>
                    </w:rPr>
                    <w:t>万吨</w:t>
                  </w:r>
                </w:p>
              </w:tc>
            </w:tr>
          </w:tbl>
          <w:p>
            <w:pPr>
              <w:adjustRightInd w:val="0"/>
              <w:snapToGrid w:val="0"/>
              <w:spacing w:beforeLines="50" w:line="360" w:lineRule="auto"/>
              <w:jc w:val="center"/>
              <w:rPr>
                <w:rFonts w:ascii="Times New Roman" w:hAnsi="Times New Roman"/>
                <w:b/>
                <w:bCs/>
                <w:color w:val="000000"/>
                <w:sz w:val="24"/>
              </w:rPr>
            </w:pPr>
            <w:r>
              <w:rPr>
                <w:rFonts w:ascii="Times New Roman" w:hAnsi="Times New Roman"/>
                <w:b/>
                <w:bCs/>
                <w:color w:val="000000"/>
                <w:sz w:val="24"/>
              </w:rPr>
              <w:t>表3  主要能源以及资源消耗</w:t>
            </w:r>
          </w:p>
          <w:tbl>
            <w:tblPr>
              <w:tblStyle w:val="27"/>
              <w:tblW w:w="79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05"/>
              <w:gridCol w:w="1529"/>
              <w:gridCol w:w="1213"/>
              <w:gridCol w:w="1992"/>
              <w:gridCol w:w="16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505"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类别</w:t>
                  </w:r>
                </w:p>
              </w:tc>
              <w:tc>
                <w:tcPr>
                  <w:tcW w:w="1529"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名称</w:t>
                  </w:r>
                </w:p>
              </w:tc>
              <w:tc>
                <w:tcPr>
                  <w:tcW w:w="1213"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规格</w:t>
                  </w:r>
                </w:p>
              </w:tc>
              <w:tc>
                <w:tcPr>
                  <w:tcW w:w="1992" w:type="dxa"/>
                  <w:tcBorders>
                    <w:left w:val="single" w:color="auto" w:sz="4" w:space="0"/>
                    <w:right w:val="single" w:color="auto" w:sz="4" w:space="0"/>
                  </w:tcBorders>
                  <w:vAlign w:val="center"/>
                </w:tcPr>
                <w:p>
                  <w:pPr>
                    <w:autoSpaceDE w:val="0"/>
                    <w:autoSpaceDN w:val="0"/>
                    <w:adjustRightInd w:val="0"/>
                    <w:snapToGrid w:val="0"/>
                    <w:spacing w:line="360" w:lineRule="atLeast"/>
                    <w:jc w:val="center"/>
                    <w:textAlignment w:val="baseline"/>
                    <w:rPr>
                      <w:rFonts w:ascii="Times New Roman" w:hAnsi="Times New Roman"/>
                      <w:b/>
                      <w:bCs/>
                      <w:color w:val="000000"/>
                      <w:szCs w:val="21"/>
                    </w:rPr>
                  </w:pPr>
                  <w:r>
                    <w:rPr>
                      <w:rFonts w:ascii="Times New Roman" w:hAnsi="Times New Roman"/>
                      <w:b/>
                      <w:bCs/>
                      <w:color w:val="000000"/>
                      <w:szCs w:val="21"/>
                    </w:rPr>
                    <w:t>年耗量</w:t>
                  </w:r>
                </w:p>
              </w:tc>
              <w:tc>
                <w:tcPr>
                  <w:tcW w:w="1699" w:type="dxa"/>
                  <w:tcBorders>
                    <w:left w:val="single" w:color="auto" w:sz="4" w:space="0"/>
                  </w:tcBorders>
                  <w:vAlign w:val="center"/>
                </w:tcPr>
                <w:p>
                  <w:pPr>
                    <w:snapToGrid w:val="0"/>
                    <w:jc w:val="center"/>
                    <w:rPr>
                      <w:rFonts w:ascii="Times New Roman" w:hAnsi="Times New Roman"/>
                      <w:b/>
                      <w:bCs/>
                      <w:color w:val="000000"/>
                      <w:szCs w:val="21"/>
                    </w:rPr>
                  </w:pPr>
                  <w:r>
                    <w:rPr>
                      <w:rFonts w:ascii="Times New Roman" w:hAnsi="Times New Roman"/>
                      <w:b/>
                      <w:bCs/>
                      <w:color w:val="000000"/>
                      <w:szCs w:val="21"/>
                    </w:rPr>
                    <w:t>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505" w:type="dxa"/>
                  <w:vMerge w:val="restart"/>
                  <w:tcBorders>
                    <w:right w:val="single" w:color="auto" w:sz="4" w:space="0"/>
                  </w:tcBorders>
                  <w:shd w:val="clear" w:color="auto" w:fill="auto"/>
                  <w:vAlign w:val="center"/>
                </w:tcPr>
                <w:p>
                  <w:pPr>
                    <w:snapToGrid w:val="0"/>
                    <w:jc w:val="center"/>
                    <w:rPr>
                      <w:rFonts w:ascii="Times New Roman" w:hAnsi="Times New Roman"/>
                      <w:bCs/>
                      <w:color w:val="000000"/>
                      <w:szCs w:val="21"/>
                    </w:rPr>
                  </w:pPr>
                  <w:r>
                    <w:rPr>
                      <w:rFonts w:ascii="Times New Roman" w:hAnsi="宋体"/>
                      <w:bCs/>
                      <w:color w:val="000000"/>
                      <w:szCs w:val="21"/>
                    </w:rPr>
                    <w:t>自来水</w:t>
                  </w:r>
                </w:p>
              </w:tc>
              <w:tc>
                <w:tcPr>
                  <w:tcW w:w="1529" w:type="dxa"/>
                  <w:tcBorders>
                    <w:left w:val="single" w:color="auto" w:sz="4" w:space="0"/>
                    <w:bottom w:val="single" w:color="auto" w:sz="4" w:space="0"/>
                  </w:tcBorders>
                  <w:shd w:val="clear" w:color="auto" w:fill="auto"/>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kern w:val="0"/>
                      <w:szCs w:val="21"/>
                    </w:rPr>
                    <w:t>生活用水</w:t>
                  </w:r>
                </w:p>
              </w:tc>
              <w:tc>
                <w:tcPr>
                  <w:tcW w:w="1213" w:type="dxa"/>
                  <w:tcBorders>
                    <w:bottom w:val="single" w:color="auto" w:sz="4" w:space="0"/>
                  </w:tcBorders>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1992" w:type="dxa"/>
                  <w:tcBorders>
                    <w:left w:val="single" w:color="auto" w:sz="4" w:space="0"/>
                    <w:bottom w:val="single" w:color="auto" w:sz="4" w:space="0"/>
                  </w:tcBorders>
                  <w:vAlign w:val="center"/>
                </w:tcPr>
                <w:p>
                  <w:pPr>
                    <w:snapToGrid w:val="0"/>
                    <w:jc w:val="center"/>
                    <w:rPr>
                      <w:rFonts w:ascii="Times New Roman" w:hAnsi="Times New Roman"/>
                      <w:bCs/>
                      <w:color w:val="000000" w:themeColor="text1"/>
                      <w:kern w:val="0"/>
                      <w:szCs w:val="21"/>
                    </w:rPr>
                  </w:pPr>
                  <w:r>
                    <w:rPr>
                      <w:rFonts w:hint="eastAsia" w:ascii="Times New Roman" w:hAnsi="Times New Roman"/>
                      <w:bCs/>
                      <w:color w:val="000000" w:themeColor="text1"/>
                      <w:kern w:val="0"/>
                      <w:szCs w:val="21"/>
                    </w:rPr>
                    <w:t>960</w:t>
                  </w:r>
                  <w:r>
                    <w:rPr>
                      <w:rFonts w:ascii="Times New Roman" w:hAnsi="Times New Roman"/>
                      <w:bCs/>
                      <w:color w:val="000000" w:themeColor="text1"/>
                      <w:kern w:val="0"/>
                      <w:szCs w:val="21"/>
                    </w:rPr>
                    <w:t>吨</w:t>
                  </w:r>
                </w:p>
              </w:tc>
              <w:tc>
                <w:tcPr>
                  <w:tcW w:w="1699" w:type="dxa"/>
                  <w:vMerge w:val="restart"/>
                  <w:vAlign w:val="center"/>
                </w:tcPr>
                <w:p>
                  <w:pPr>
                    <w:snapToGrid w:val="0"/>
                    <w:jc w:val="center"/>
                    <w:rPr>
                      <w:rFonts w:ascii="Times New Roman" w:hAnsi="Times New Roman"/>
                      <w:bCs/>
                      <w:color w:val="000000"/>
                      <w:szCs w:val="21"/>
                    </w:rPr>
                  </w:pPr>
                  <w:r>
                    <w:rPr>
                      <w:rFonts w:ascii="Times New Roman" w:hAnsi="Times New Roman"/>
                      <w:bCs/>
                      <w:color w:val="000000"/>
                      <w:szCs w:val="21"/>
                    </w:rPr>
                    <w:t>市政供给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505" w:type="dxa"/>
                  <w:vMerge w:val="continue"/>
                  <w:tcBorders>
                    <w:right w:val="single" w:color="auto" w:sz="4" w:space="0"/>
                  </w:tcBorders>
                  <w:shd w:val="clear" w:color="auto" w:fill="auto"/>
                  <w:vAlign w:val="center"/>
                </w:tcPr>
                <w:p>
                  <w:pPr>
                    <w:snapToGrid w:val="0"/>
                    <w:jc w:val="center"/>
                    <w:rPr>
                      <w:rFonts w:ascii="Times New Roman" w:hAnsi="Times New Roman"/>
                      <w:bCs/>
                      <w:color w:val="000000"/>
                      <w:szCs w:val="21"/>
                    </w:rPr>
                  </w:pPr>
                </w:p>
              </w:tc>
              <w:tc>
                <w:tcPr>
                  <w:tcW w:w="1529" w:type="dxa"/>
                  <w:tcBorders>
                    <w:top w:val="single" w:color="auto" w:sz="4" w:space="0"/>
                    <w:left w:val="single" w:color="auto" w:sz="4" w:space="0"/>
                    <w:bottom w:val="single" w:color="auto" w:sz="4" w:space="0"/>
                  </w:tcBorders>
                  <w:shd w:val="clear" w:color="auto" w:fill="auto"/>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kern w:val="0"/>
                      <w:szCs w:val="21"/>
                    </w:rPr>
                    <w:t>清洗用水</w:t>
                  </w:r>
                </w:p>
              </w:tc>
              <w:tc>
                <w:tcPr>
                  <w:tcW w:w="1213" w:type="dxa"/>
                  <w:tcBorders>
                    <w:top w:val="single" w:color="auto" w:sz="4" w:space="0"/>
                    <w:bottom w:val="single" w:color="auto" w:sz="4" w:space="0"/>
                  </w:tcBorders>
                  <w:vAlign w:val="center"/>
                </w:tcPr>
                <w:p>
                  <w:pPr>
                    <w:autoSpaceDE w:val="0"/>
                    <w:autoSpaceDN w:val="0"/>
                    <w:adjustRightInd w:val="0"/>
                    <w:snapToGrid w:val="0"/>
                    <w:spacing w:line="360" w:lineRule="atLeast"/>
                    <w:jc w:val="center"/>
                    <w:textAlignment w:val="baseline"/>
                    <w:rPr>
                      <w:rFonts w:ascii="Times New Roman" w:hAnsi="Times New Roman"/>
                      <w:bCs/>
                      <w:color w:val="000000" w:themeColor="text1"/>
                      <w:szCs w:val="21"/>
                    </w:rPr>
                  </w:pPr>
                  <w:r>
                    <w:rPr>
                      <w:rFonts w:ascii="Times New Roman" w:hAnsi="Times New Roman"/>
                      <w:bCs/>
                      <w:color w:val="000000" w:themeColor="text1"/>
                      <w:szCs w:val="21"/>
                    </w:rPr>
                    <w:t>——</w:t>
                  </w:r>
                </w:p>
              </w:tc>
              <w:tc>
                <w:tcPr>
                  <w:tcW w:w="1992" w:type="dxa"/>
                  <w:tcBorders>
                    <w:top w:val="single" w:color="auto" w:sz="4" w:space="0"/>
                    <w:left w:val="single" w:color="auto" w:sz="4" w:space="0"/>
                    <w:bottom w:val="single" w:color="auto" w:sz="4" w:space="0"/>
                  </w:tcBorders>
                  <w:vAlign w:val="center"/>
                </w:tcPr>
                <w:p>
                  <w:pPr>
                    <w:snapToGrid w:val="0"/>
                    <w:jc w:val="center"/>
                    <w:rPr>
                      <w:rFonts w:ascii="Times New Roman" w:hAnsi="Times New Roman"/>
                      <w:bCs/>
                      <w:color w:val="000000" w:themeColor="text1"/>
                      <w:kern w:val="0"/>
                      <w:szCs w:val="21"/>
                    </w:rPr>
                  </w:pPr>
                  <w:r>
                    <w:rPr>
                      <w:rFonts w:ascii="Times New Roman" w:hAnsi="Times New Roman"/>
                      <w:bCs/>
                      <w:color w:val="000000" w:themeColor="text1"/>
                      <w:kern w:val="0"/>
                      <w:szCs w:val="21"/>
                    </w:rPr>
                    <w:t>6000吨</w:t>
                  </w:r>
                </w:p>
              </w:tc>
              <w:tc>
                <w:tcPr>
                  <w:tcW w:w="1699" w:type="dxa"/>
                  <w:vMerge w:val="continue"/>
                  <w:vAlign w:val="center"/>
                </w:tcPr>
                <w:p>
                  <w:pPr>
                    <w:snapToGrid w:val="0"/>
                    <w:jc w:val="center"/>
                    <w:rPr>
                      <w:rFonts w:ascii="Times New Roman" w:hAnsi="Times New Roman"/>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505" w:type="dxa"/>
                  <w:vMerge w:val="continue"/>
                  <w:tcBorders>
                    <w:right w:val="single" w:color="auto" w:sz="4" w:space="0"/>
                  </w:tcBorders>
                  <w:shd w:val="clear" w:color="auto" w:fill="auto"/>
                  <w:vAlign w:val="center"/>
                </w:tcPr>
                <w:p>
                  <w:pPr>
                    <w:snapToGrid w:val="0"/>
                    <w:jc w:val="center"/>
                    <w:rPr>
                      <w:rFonts w:ascii="Times New Roman" w:hAnsi="Times New Roman"/>
                      <w:bCs/>
                      <w:color w:val="000000"/>
                      <w:szCs w:val="21"/>
                    </w:rPr>
                  </w:pPr>
                </w:p>
              </w:tc>
              <w:tc>
                <w:tcPr>
                  <w:tcW w:w="1529" w:type="dxa"/>
                  <w:tcBorders>
                    <w:top w:val="single" w:color="auto" w:sz="4" w:space="0"/>
                    <w:left w:val="single" w:color="auto" w:sz="4" w:space="0"/>
                    <w:bottom w:val="single" w:color="auto" w:sz="4" w:space="0"/>
                  </w:tcBorders>
                  <w:shd w:val="clear" w:color="auto" w:fill="auto"/>
                  <w:vAlign w:val="center"/>
                </w:tcPr>
                <w:p>
                  <w:pPr>
                    <w:snapToGrid w:val="0"/>
                    <w:jc w:val="center"/>
                    <w:rPr>
                      <w:rFonts w:ascii="Times New Roman" w:hAnsi="Times New Roman"/>
                      <w:bCs/>
                      <w:color w:val="000000" w:themeColor="text1"/>
                      <w:kern w:val="0"/>
                      <w:szCs w:val="21"/>
                    </w:rPr>
                  </w:pPr>
                  <w:r>
                    <w:rPr>
                      <w:rFonts w:ascii="Times New Roman" w:hAnsi="Times New Roman"/>
                      <w:bCs/>
                      <w:color w:val="000000" w:themeColor="text1"/>
                      <w:kern w:val="0"/>
                      <w:szCs w:val="21"/>
                    </w:rPr>
                    <w:t>产品用水</w:t>
                  </w:r>
                </w:p>
              </w:tc>
              <w:tc>
                <w:tcPr>
                  <w:tcW w:w="1213" w:type="dxa"/>
                  <w:tcBorders>
                    <w:top w:val="single" w:color="auto" w:sz="4" w:space="0"/>
                    <w:bottom w:val="single" w:color="auto" w:sz="4" w:space="0"/>
                  </w:tcBorders>
                  <w:vAlign w:val="center"/>
                </w:tcPr>
                <w:p>
                  <w:pPr>
                    <w:autoSpaceDE w:val="0"/>
                    <w:autoSpaceDN w:val="0"/>
                    <w:adjustRightInd w:val="0"/>
                    <w:snapToGrid w:val="0"/>
                    <w:spacing w:line="360" w:lineRule="atLeast"/>
                    <w:jc w:val="center"/>
                    <w:textAlignment w:val="baseline"/>
                    <w:rPr>
                      <w:rFonts w:ascii="Times New Roman" w:hAnsi="Times New Roman"/>
                      <w:bCs/>
                      <w:color w:val="000000" w:themeColor="text1"/>
                      <w:szCs w:val="21"/>
                    </w:rPr>
                  </w:pPr>
                  <w:r>
                    <w:rPr>
                      <w:rFonts w:ascii="Times New Roman" w:hAnsi="Times New Roman"/>
                      <w:bCs/>
                      <w:color w:val="000000" w:themeColor="text1"/>
                      <w:szCs w:val="21"/>
                    </w:rPr>
                    <w:t>——</w:t>
                  </w:r>
                </w:p>
              </w:tc>
              <w:tc>
                <w:tcPr>
                  <w:tcW w:w="1992" w:type="dxa"/>
                  <w:tcBorders>
                    <w:top w:val="single" w:color="auto" w:sz="4" w:space="0"/>
                    <w:left w:val="single" w:color="auto" w:sz="4" w:space="0"/>
                    <w:bottom w:val="single" w:color="auto" w:sz="4" w:space="0"/>
                  </w:tcBorders>
                  <w:vAlign w:val="center"/>
                </w:tcPr>
                <w:p>
                  <w:pPr>
                    <w:snapToGrid w:val="0"/>
                    <w:jc w:val="center"/>
                    <w:rPr>
                      <w:rFonts w:ascii="Times New Roman" w:hAnsi="Times New Roman"/>
                      <w:bCs/>
                      <w:color w:val="000000" w:themeColor="text1"/>
                      <w:kern w:val="0"/>
                      <w:szCs w:val="21"/>
                    </w:rPr>
                  </w:pPr>
                  <w:r>
                    <w:rPr>
                      <w:rFonts w:hint="eastAsia" w:ascii="Times New Roman" w:hAnsi="Times New Roman"/>
                      <w:bCs/>
                      <w:color w:val="000000" w:themeColor="text1"/>
                      <w:kern w:val="0"/>
                      <w:szCs w:val="21"/>
                    </w:rPr>
                    <w:t>18</w:t>
                  </w:r>
                  <w:r>
                    <w:rPr>
                      <w:rFonts w:ascii="Times New Roman" w:hAnsi="Times New Roman"/>
                      <w:bCs/>
                      <w:color w:val="000000" w:themeColor="text1"/>
                      <w:kern w:val="0"/>
                      <w:szCs w:val="21"/>
                    </w:rPr>
                    <w:t>万吨</w:t>
                  </w:r>
                </w:p>
              </w:tc>
              <w:tc>
                <w:tcPr>
                  <w:tcW w:w="1699" w:type="dxa"/>
                  <w:vMerge w:val="continue"/>
                  <w:vAlign w:val="center"/>
                </w:tcPr>
                <w:p>
                  <w:pPr>
                    <w:snapToGrid w:val="0"/>
                    <w:jc w:val="center"/>
                    <w:rPr>
                      <w:rFonts w:ascii="Times New Roman" w:hAnsi="Times New Roman"/>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3034" w:type="dxa"/>
                  <w:gridSpan w:val="2"/>
                  <w:shd w:val="clear" w:color="auto" w:fill="auto"/>
                  <w:vAlign w:val="center"/>
                </w:tcPr>
                <w:p>
                  <w:pPr>
                    <w:snapToGrid w:val="0"/>
                    <w:jc w:val="center"/>
                    <w:rPr>
                      <w:rFonts w:ascii="Times New Roman" w:hAnsi="Times New Roman"/>
                      <w:bCs/>
                      <w:color w:val="000000"/>
                      <w:szCs w:val="21"/>
                    </w:rPr>
                  </w:pPr>
                  <w:r>
                    <w:rPr>
                      <w:rFonts w:ascii="Times New Roman" w:hAnsi="宋体"/>
                      <w:bCs/>
                      <w:color w:val="000000"/>
                      <w:szCs w:val="21"/>
                    </w:rPr>
                    <w:t>电</w:t>
                  </w:r>
                </w:p>
              </w:tc>
              <w:tc>
                <w:tcPr>
                  <w:tcW w:w="1213"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w:t>
                  </w:r>
                </w:p>
              </w:tc>
              <w:tc>
                <w:tcPr>
                  <w:tcW w:w="1992" w:type="dxa"/>
                  <w:tcBorders>
                    <w:left w:val="single" w:color="auto" w:sz="4" w:space="0"/>
                  </w:tcBorders>
                  <w:vAlign w:val="center"/>
                </w:tcPr>
                <w:p>
                  <w:pPr>
                    <w:autoSpaceDE w:val="0"/>
                    <w:autoSpaceDN w:val="0"/>
                    <w:adjustRightInd w:val="0"/>
                    <w:snapToGrid w:val="0"/>
                    <w:jc w:val="center"/>
                    <w:textAlignment w:val="baseline"/>
                    <w:rPr>
                      <w:rFonts w:ascii="Times New Roman" w:hAnsi="Times New Roman"/>
                      <w:bCs/>
                      <w:color w:val="000000"/>
                      <w:szCs w:val="21"/>
                    </w:rPr>
                  </w:pPr>
                  <w:r>
                    <w:rPr>
                      <w:rFonts w:ascii="Times New Roman" w:hAnsi="Times New Roman"/>
                      <w:bCs/>
                      <w:color w:val="000000"/>
                      <w:kern w:val="0"/>
                      <w:szCs w:val="21"/>
                    </w:rPr>
                    <w:t>100000度</w:t>
                  </w:r>
                </w:p>
              </w:tc>
              <w:tc>
                <w:tcPr>
                  <w:tcW w:w="1699" w:type="dxa"/>
                  <w:vMerge w:val="continue"/>
                  <w:vAlign w:val="center"/>
                </w:tcPr>
                <w:p>
                  <w:pPr>
                    <w:snapToGrid w:val="0"/>
                    <w:spacing w:beforeLines="20" w:afterLines="20"/>
                    <w:jc w:val="center"/>
                    <w:rPr>
                      <w:rFonts w:ascii="Times New Roman" w:hAnsi="Times New Roman"/>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3034" w:type="dxa"/>
                  <w:gridSpan w:val="2"/>
                  <w:shd w:val="clear" w:color="auto" w:fill="auto"/>
                  <w:vAlign w:val="center"/>
                </w:tcPr>
                <w:p>
                  <w:pPr>
                    <w:snapToGrid w:val="0"/>
                    <w:jc w:val="center"/>
                    <w:rPr>
                      <w:rFonts w:ascii="Times New Roman" w:hAnsi="Times New Roman"/>
                      <w:bCs/>
                      <w:color w:val="000000"/>
                      <w:szCs w:val="21"/>
                    </w:rPr>
                  </w:pPr>
                  <w:r>
                    <w:rPr>
                      <w:rFonts w:ascii="Times New Roman" w:hAnsi="宋体"/>
                      <w:bCs/>
                      <w:color w:val="000000"/>
                      <w:szCs w:val="21"/>
                    </w:rPr>
                    <w:t>液化石油气</w:t>
                  </w:r>
                </w:p>
              </w:tc>
              <w:tc>
                <w:tcPr>
                  <w:tcW w:w="1213" w:type="dxa"/>
                  <w:vAlign w:val="center"/>
                </w:tcPr>
                <w:p>
                  <w:pPr>
                    <w:snapToGrid w:val="0"/>
                    <w:jc w:val="center"/>
                    <w:rPr>
                      <w:rFonts w:ascii="Times New Roman" w:hAnsi="Times New Roman"/>
                      <w:bCs/>
                      <w:color w:val="000000"/>
                      <w:szCs w:val="21"/>
                    </w:rPr>
                  </w:pPr>
                  <w:r>
                    <w:rPr>
                      <w:rFonts w:hint="eastAsia" w:ascii="Times New Roman" w:hAnsi="宋体"/>
                      <w:bCs/>
                      <w:color w:val="000000"/>
                      <w:szCs w:val="21"/>
                    </w:rPr>
                    <w:t>罐</w:t>
                  </w:r>
                  <w:r>
                    <w:rPr>
                      <w:rFonts w:ascii="Times New Roman" w:hAnsi="宋体"/>
                      <w:bCs/>
                      <w:color w:val="000000"/>
                      <w:szCs w:val="21"/>
                    </w:rPr>
                    <w:t>装</w:t>
                  </w:r>
                </w:p>
              </w:tc>
              <w:tc>
                <w:tcPr>
                  <w:tcW w:w="1992" w:type="dxa"/>
                  <w:tcBorders>
                    <w:left w:val="single" w:color="auto" w:sz="4" w:space="0"/>
                  </w:tcBorders>
                  <w:vAlign w:val="center"/>
                </w:tcPr>
                <w:p>
                  <w:pPr>
                    <w:autoSpaceDE w:val="0"/>
                    <w:autoSpaceDN w:val="0"/>
                    <w:adjustRightInd w:val="0"/>
                    <w:snapToGrid w:val="0"/>
                    <w:jc w:val="center"/>
                    <w:textAlignment w:val="baseline"/>
                    <w:rPr>
                      <w:rFonts w:ascii="Times New Roman" w:hAnsi="Times New Roman"/>
                      <w:snapToGrid w:val="0"/>
                      <w:color w:val="000000"/>
                      <w:kern w:val="0"/>
                      <w:szCs w:val="21"/>
                    </w:rPr>
                  </w:pPr>
                  <w:r>
                    <w:rPr>
                      <w:rFonts w:hint="eastAsia" w:ascii="Times New Roman" w:hAnsi="Times New Roman"/>
                      <w:snapToGrid w:val="0"/>
                      <w:color w:val="000000"/>
                      <w:kern w:val="0"/>
                      <w:szCs w:val="21"/>
                    </w:rPr>
                    <w:t>0.6</w:t>
                  </w:r>
                  <w:r>
                    <w:rPr>
                      <w:rFonts w:ascii="Times New Roman" w:hAnsi="Times New Roman"/>
                      <w:snapToGrid w:val="0"/>
                      <w:color w:val="000000"/>
                      <w:kern w:val="0"/>
                      <w:szCs w:val="21"/>
                    </w:rPr>
                    <w:t>吨</w:t>
                  </w:r>
                </w:p>
              </w:tc>
              <w:tc>
                <w:tcPr>
                  <w:tcW w:w="1699" w:type="dxa"/>
                  <w:vMerge w:val="restart"/>
                  <w:vAlign w:val="center"/>
                </w:tcPr>
                <w:p>
                  <w:pPr>
                    <w:snapToGrid w:val="0"/>
                    <w:spacing w:beforeLines="20" w:afterLines="20"/>
                    <w:jc w:val="center"/>
                    <w:rPr>
                      <w:rFonts w:ascii="Times New Roman" w:hAnsi="Times New Roman"/>
                      <w:bCs/>
                      <w:color w:val="000000"/>
                      <w:szCs w:val="21"/>
                    </w:rPr>
                  </w:pPr>
                  <w:r>
                    <w:rPr>
                      <w:rFonts w:ascii="Times New Roman" w:hAnsi="Times New Roman"/>
                      <w:bCs/>
                      <w:color w:val="000000"/>
                      <w:szCs w:val="21"/>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3034" w:type="dxa"/>
                  <w:gridSpan w:val="2"/>
                  <w:tcBorders>
                    <w:bottom w:val="single" w:color="auto" w:sz="6" w:space="0"/>
                  </w:tcBorders>
                  <w:shd w:val="clear" w:color="auto" w:fill="auto"/>
                  <w:vAlign w:val="center"/>
                </w:tcPr>
                <w:p>
                  <w:pPr>
                    <w:snapToGrid w:val="0"/>
                    <w:jc w:val="center"/>
                    <w:rPr>
                      <w:rFonts w:ascii="Times New Roman" w:hAnsi="Times New Roman"/>
                      <w:bCs/>
                      <w:color w:val="000000"/>
                      <w:szCs w:val="21"/>
                    </w:rPr>
                  </w:pPr>
                  <w:r>
                    <w:rPr>
                      <w:rFonts w:ascii="Times New Roman" w:hAnsi="Times New Roman"/>
                      <w:snapToGrid w:val="0"/>
                      <w:color w:val="000000"/>
                      <w:kern w:val="0"/>
                      <w:szCs w:val="21"/>
                    </w:rPr>
                    <w:t>0#</w:t>
                  </w:r>
                  <w:r>
                    <w:rPr>
                      <w:rFonts w:ascii="Times New Roman"/>
                      <w:snapToGrid w:val="0"/>
                      <w:color w:val="000000"/>
                      <w:kern w:val="0"/>
                      <w:szCs w:val="21"/>
                    </w:rPr>
                    <w:t>轻柴油</w:t>
                  </w:r>
                </w:p>
              </w:tc>
              <w:tc>
                <w:tcPr>
                  <w:tcW w:w="1213" w:type="dxa"/>
                  <w:tcBorders>
                    <w:bottom w:val="single" w:color="auto" w:sz="6" w:space="0"/>
                  </w:tcBorders>
                  <w:vAlign w:val="center"/>
                </w:tcPr>
                <w:p>
                  <w:pPr>
                    <w:snapToGrid w:val="0"/>
                    <w:jc w:val="center"/>
                    <w:rPr>
                      <w:rFonts w:ascii="Times New Roman" w:hAnsi="宋体"/>
                      <w:bCs/>
                      <w:color w:val="000000"/>
                      <w:szCs w:val="21"/>
                    </w:rPr>
                  </w:pPr>
                  <w:r>
                    <w:rPr>
                      <w:rFonts w:hint="eastAsia"/>
                      <w:snapToGrid w:val="0"/>
                      <w:color w:val="000000"/>
                      <w:kern w:val="0"/>
                      <w:szCs w:val="21"/>
                    </w:rPr>
                    <w:t>桶装</w:t>
                  </w:r>
                </w:p>
              </w:tc>
              <w:tc>
                <w:tcPr>
                  <w:tcW w:w="1992" w:type="dxa"/>
                  <w:tcBorders>
                    <w:left w:val="single" w:color="auto" w:sz="4" w:space="0"/>
                    <w:bottom w:val="single" w:color="auto" w:sz="6" w:space="0"/>
                  </w:tcBorders>
                  <w:vAlign w:val="center"/>
                </w:tcPr>
                <w:p>
                  <w:pPr>
                    <w:autoSpaceDE w:val="0"/>
                    <w:autoSpaceDN w:val="0"/>
                    <w:adjustRightInd w:val="0"/>
                    <w:snapToGrid w:val="0"/>
                    <w:jc w:val="center"/>
                    <w:textAlignment w:val="baseline"/>
                    <w:rPr>
                      <w:rFonts w:ascii="Times New Roman" w:hAnsi="Times New Roman"/>
                      <w:snapToGrid w:val="0"/>
                      <w:color w:val="000000"/>
                      <w:kern w:val="0"/>
                      <w:szCs w:val="21"/>
                    </w:rPr>
                  </w:pPr>
                  <w:r>
                    <w:rPr>
                      <w:rFonts w:hint="eastAsia" w:ascii="Times New Roman" w:hAnsi="Times New Roman"/>
                      <w:snapToGrid w:val="0"/>
                      <w:color w:val="000000"/>
                      <w:kern w:val="0"/>
                      <w:szCs w:val="21"/>
                    </w:rPr>
                    <w:t>1吨</w:t>
                  </w:r>
                </w:p>
              </w:tc>
              <w:tc>
                <w:tcPr>
                  <w:tcW w:w="1699" w:type="dxa"/>
                  <w:vMerge w:val="continue"/>
                  <w:tcBorders>
                    <w:bottom w:val="single" w:color="auto" w:sz="6" w:space="0"/>
                  </w:tcBorders>
                  <w:vAlign w:val="center"/>
                </w:tcPr>
                <w:p>
                  <w:pPr>
                    <w:snapToGrid w:val="0"/>
                    <w:spacing w:beforeLines="20" w:afterLines="20"/>
                    <w:jc w:val="center"/>
                    <w:rPr>
                      <w:rFonts w:ascii="Times New Roman" w:hAnsi="Times New Roman"/>
                      <w:bCs/>
                      <w:color w:val="000000"/>
                      <w:szCs w:val="21"/>
                    </w:rPr>
                  </w:pPr>
                </w:p>
              </w:tc>
            </w:tr>
          </w:tbl>
          <w:p>
            <w:pPr>
              <w:spacing w:line="360" w:lineRule="auto"/>
              <w:ind w:firstLine="482" w:firstLineChars="200"/>
              <w:rPr>
                <w:rFonts w:ascii="Times New Roman" w:hAnsi="Times New Roman"/>
                <w:b/>
                <w:snapToGrid w:val="0"/>
                <w:color w:val="000000"/>
                <w:kern w:val="0"/>
                <w:sz w:val="24"/>
                <w:szCs w:val="24"/>
              </w:rPr>
            </w:pPr>
            <w:r>
              <w:rPr>
                <w:rFonts w:ascii="Times New Roman" w:hAnsi="Times New Roman"/>
                <w:b/>
                <w:snapToGrid w:val="0"/>
                <w:color w:val="000000"/>
                <w:kern w:val="0"/>
                <w:sz w:val="24"/>
                <w:szCs w:val="24"/>
              </w:rPr>
              <w:t>4</w:t>
            </w:r>
            <w:r>
              <w:rPr>
                <w:rFonts w:ascii="Times New Roman" w:hAnsi="宋体"/>
                <w:b/>
                <w:snapToGrid w:val="0"/>
                <w:color w:val="000000"/>
                <w:kern w:val="0"/>
                <w:sz w:val="24"/>
                <w:szCs w:val="24"/>
              </w:rPr>
              <w:t>、主要设备或设施</w:t>
            </w:r>
          </w:p>
          <w:p>
            <w:pPr>
              <w:adjustRightInd w:val="0"/>
              <w:spacing w:line="360" w:lineRule="auto"/>
              <w:ind w:firstLine="425"/>
              <w:jc w:val="center"/>
              <w:textAlignment w:val="baseline"/>
              <w:rPr>
                <w:rFonts w:ascii="Times New Roman" w:hAnsi="Times New Roman"/>
                <w:b/>
                <w:color w:val="000000"/>
                <w:kern w:val="0"/>
                <w:sz w:val="24"/>
                <w:szCs w:val="24"/>
              </w:rPr>
            </w:pPr>
            <w:r>
              <w:rPr>
                <w:rFonts w:ascii="Times New Roman" w:hAnsi="宋体"/>
                <w:b/>
                <w:color w:val="000000"/>
                <w:kern w:val="0"/>
                <w:sz w:val="24"/>
                <w:szCs w:val="24"/>
              </w:rPr>
              <w:t>表</w:t>
            </w:r>
            <w:r>
              <w:rPr>
                <w:rFonts w:ascii="Times New Roman" w:hAnsi="Times New Roman"/>
                <w:b/>
                <w:color w:val="000000"/>
                <w:kern w:val="0"/>
                <w:sz w:val="24"/>
                <w:szCs w:val="24"/>
              </w:rPr>
              <w:t xml:space="preserve">4  </w:t>
            </w:r>
            <w:r>
              <w:rPr>
                <w:rFonts w:ascii="Times New Roman" w:hAnsi="宋体"/>
                <w:b/>
                <w:color w:val="000000"/>
                <w:kern w:val="0"/>
                <w:sz w:val="24"/>
                <w:szCs w:val="24"/>
              </w:rPr>
              <w:t>主要设备或设施</w:t>
            </w:r>
          </w:p>
          <w:tbl>
            <w:tblPr>
              <w:tblStyle w:val="27"/>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949"/>
              <w:gridCol w:w="2335"/>
              <w:gridCol w:w="1621"/>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类型</w:t>
                  </w:r>
                </w:p>
              </w:tc>
              <w:tc>
                <w:tcPr>
                  <w:tcW w:w="949"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序号</w:t>
                  </w:r>
                </w:p>
              </w:tc>
              <w:tc>
                <w:tcPr>
                  <w:tcW w:w="2335"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名称</w:t>
                  </w:r>
                </w:p>
              </w:tc>
              <w:tc>
                <w:tcPr>
                  <w:tcW w:w="1621"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型号</w:t>
                  </w:r>
                </w:p>
              </w:tc>
              <w:tc>
                <w:tcPr>
                  <w:tcW w:w="1867" w:type="dxa"/>
                  <w:vAlign w:val="center"/>
                </w:tcPr>
                <w:p>
                  <w:pPr>
                    <w:snapToGrid w:val="0"/>
                    <w:jc w:val="center"/>
                    <w:rPr>
                      <w:rFonts w:ascii="Times New Roman" w:hAnsi="Times New Roman"/>
                      <w:b/>
                      <w:bCs/>
                      <w:color w:val="000000"/>
                      <w:szCs w:val="21"/>
                    </w:rPr>
                  </w:pPr>
                  <w:r>
                    <w:rPr>
                      <w:rFonts w:ascii="Times New Roman" w:hAnsi="Times New Roman"/>
                      <w:b/>
                      <w:bCs/>
                      <w:color w:val="000000"/>
                      <w:szCs w:val="21"/>
                    </w:rPr>
                    <w:t>数量（单位）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restart"/>
                  <w:vAlign w:val="center"/>
                </w:tcPr>
                <w:p>
                  <w:pPr>
                    <w:snapToGrid w:val="0"/>
                    <w:jc w:val="center"/>
                    <w:rPr>
                      <w:rFonts w:ascii="Times New Roman" w:hAnsi="Times New Roman"/>
                      <w:bCs/>
                      <w:color w:val="000000"/>
                      <w:szCs w:val="21"/>
                    </w:rPr>
                  </w:pPr>
                  <w:r>
                    <w:rPr>
                      <w:rFonts w:ascii="Times New Roman" w:hAnsi="Times New Roman"/>
                      <w:bCs/>
                      <w:color w:val="000000"/>
                      <w:szCs w:val="21"/>
                    </w:rPr>
                    <w:t>生产</w:t>
                  </w:r>
                </w:p>
              </w:tc>
              <w:tc>
                <w:tcPr>
                  <w:tcW w:w="949"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1</w:t>
                  </w:r>
                </w:p>
              </w:tc>
              <w:tc>
                <w:tcPr>
                  <w:tcW w:w="2335"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混凝土生产线</w:t>
                  </w:r>
                </w:p>
              </w:tc>
              <w:tc>
                <w:tcPr>
                  <w:tcW w:w="1621"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搅拌、输送等</w:t>
                  </w:r>
                </w:p>
              </w:tc>
              <w:tc>
                <w:tcPr>
                  <w:tcW w:w="1867" w:type="dxa"/>
                  <w:vAlign w:val="center"/>
                </w:tcPr>
                <w:p>
                  <w:pPr>
                    <w:autoSpaceDE w:val="0"/>
                    <w:autoSpaceDN w:val="0"/>
                    <w:adjustRightInd w:val="0"/>
                    <w:snapToGrid w:val="0"/>
                    <w:jc w:val="center"/>
                    <w:textAlignment w:val="baseline"/>
                    <w:rPr>
                      <w:rFonts w:ascii="Times New Roman" w:hAnsi="Times New Roman"/>
                      <w:bCs/>
                      <w:color w:val="000000"/>
                      <w:szCs w:val="21"/>
                    </w:rPr>
                  </w:pPr>
                  <w:r>
                    <w:rPr>
                      <w:rFonts w:hint="eastAsia" w:ascii="Times New Roman" w:hAnsi="Times New Roman"/>
                      <w:bCs/>
                      <w:color w:val="000000"/>
                      <w:szCs w:val="21"/>
                    </w:rPr>
                    <w:t>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2</w:t>
                  </w:r>
                </w:p>
              </w:tc>
              <w:tc>
                <w:tcPr>
                  <w:tcW w:w="2335"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水泥仓</w:t>
                  </w:r>
                </w:p>
              </w:tc>
              <w:tc>
                <w:tcPr>
                  <w:tcW w:w="1621"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5个300T，1个70T</w:t>
                  </w:r>
                </w:p>
              </w:tc>
              <w:tc>
                <w:tcPr>
                  <w:tcW w:w="1867" w:type="dxa"/>
                  <w:vAlign w:val="center"/>
                </w:tcPr>
                <w:p>
                  <w:pPr>
                    <w:autoSpaceDE w:val="0"/>
                    <w:autoSpaceDN w:val="0"/>
                    <w:adjustRightInd w:val="0"/>
                    <w:snapToGrid w:val="0"/>
                    <w:jc w:val="center"/>
                    <w:textAlignment w:val="baseline"/>
                    <w:rPr>
                      <w:rFonts w:ascii="Times New Roman" w:hAnsi="Times New Roman"/>
                      <w:bCs/>
                      <w:color w:val="000000"/>
                      <w:szCs w:val="21"/>
                    </w:rPr>
                  </w:pPr>
                  <w:r>
                    <w:rPr>
                      <w:rFonts w:hint="eastAsia" w:ascii="Times New Roman" w:hAnsi="Times New Roman"/>
                      <w:bCs/>
                      <w:color w:val="000000"/>
                      <w:szCs w:val="21"/>
                    </w:rPr>
                    <w:t>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3</w:t>
                  </w:r>
                </w:p>
              </w:tc>
              <w:tc>
                <w:tcPr>
                  <w:tcW w:w="2335"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螺旋输送机</w:t>
                  </w:r>
                </w:p>
              </w:tc>
              <w:tc>
                <w:tcPr>
                  <w:tcW w:w="1621"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w:t>
                  </w:r>
                </w:p>
              </w:tc>
              <w:tc>
                <w:tcPr>
                  <w:tcW w:w="1867" w:type="dxa"/>
                  <w:vAlign w:val="center"/>
                </w:tcPr>
                <w:p>
                  <w:pPr>
                    <w:autoSpaceDE w:val="0"/>
                    <w:autoSpaceDN w:val="0"/>
                    <w:adjustRightInd w:val="0"/>
                    <w:snapToGrid w:val="0"/>
                    <w:jc w:val="center"/>
                    <w:textAlignment w:val="baseline"/>
                    <w:rPr>
                      <w:rFonts w:ascii="Times New Roman" w:hAnsi="Times New Roman"/>
                      <w:bCs/>
                      <w:color w:val="000000"/>
                      <w:szCs w:val="21"/>
                    </w:rPr>
                  </w:pPr>
                  <w:r>
                    <w:rPr>
                      <w:rFonts w:hint="eastAsia" w:ascii="Times New Roman" w:hAnsi="Times New Roman"/>
                      <w:bCs/>
                      <w:color w:val="000000"/>
                      <w:szCs w:val="21"/>
                    </w:rPr>
                    <w:t>18条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4</w:t>
                  </w:r>
                </w:p>
              </w:tc>
              <w:tc>
                <w:tcPr>
                  <w:tcW w:w="2335"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斜皮带输送机</w:t>
                  </w:r>
                </w:p>
              </w:tc>
              <w:tc>
                <w:tcPr>
                  <w:tcW w:w="1621" w:type="dxa"/>
                  <w:vAlign w:val="center"/>
                </w:tcPr>
                <w:p>
                  <w:pPr>
                    <w:snapToGrid w:val="0"/>
                    <w:jc w:val="center"/>
                    <w:rPr>
                      <w:rFonts w:ascii="Times New Roman" w:hAnsi="Times New Roman"/>
                      <w:bCs/>
                      <w:color w:val="000000"/>
                      <w:szCs w:val="21"/>
                    </w:rPr>
                  </w:pPr>
                </w:p>
              </w:tc>
              <w:tc>
                <w:tcPr>
                  <w:tcW w:w="1867" w:type="dxa"/>
                  <w:vAlign w:val="center"/>
                </w:tcPr>
                <w:p>
                  <w:pPr>
                    <w:autoSpaceDE w:val="0"/>
                    <w:autoSpaceDN w:val="0"/>
                    <w:adjustRightInd w:val="0"/>
                    <w:snapToGrid w:val="0"/>
                    <w:jc w:val="center"/>
                    <w:textAlignment w:val="baseline"/>
                    <w:rPr>
                      <w:rFonts w:ascii="Times New Roman" w:hAnsi="Times New Roman"/>
                      <w:bCs/>
                      <w:color w:val="000000"/>
                      <w:szCs w:val="21"/>
                    </w:rPr>
                  </w:pPr>
                  <w:r>
                    <w:rPr>
                      <w:rFonts w:hint="eastAsia" w:ascii="Times New Roman" w:hAnsi="Times New Roman"/>
                      <w:bCs/>
                      <w:color w:val="000000"/>
                      <w:szCs w:val="21"/>
                    </w:rPr>
                    <w:t>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5</w:t>
                  </w:r>
                </w:p>
              </w:tc>
              <w:tc>
                <w:tcPr>
                  <w:tcW w:w="2335"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称量装置</w:t>
                  </w:r>
                </w:p>
              </w:tc>
              <w:tc>
                <w:tcPr>
                  <w:tcW w:w="1621"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w:t>
                  </w:r>
                </w:p>
              </w:tc>
              <w:tc>
                <w:tcPr>
                  <w:tcW w:w="1867" w:type="dxa"/>
                  <w:vAlign w:val="center"/>
                </w:tcPr>
                <w:p>
                  <w:pPr>
                    <w:autoSpaceDE w:val="0"/>
                    <w:autoSpaceDN w:val="0"/>
                    <w:adjustRightInd w:val="0"/>
                    <w:snapToGrid w:val="0"/>
                    <w:jc w:val="center"/>
                    <w:textAlignment w:val="baseline"/>
                    <w:rPr>
                      <w:rFonts w:ascii="Times New Roman" w:hAnsi="Times New Roman"/>
                      <w:bCs/>
                      <w:color w:val="000000"/>
                      <w:szCs w:val="21"/>
                    </w:rPr>
                  </w:pPr>
                  <w:r>
                    <w:rPr>
                      <w:rFonts w:hint="eastAsia" w:ascii="Times New Roman" w:hAnsi="Times New Roman"/>
                      <w:bCs/>
                      <w:color w:val="000000"/>
                      <w:szCs w:val="21"/>
                    </w:rPr>
                    <w:t>30</w:t>
                  </w:r>
                  <w:r>
                    <w:rPr>
                      <w:rFonts w:ascii="Times New Roman" w:hAnsi="Times New Roman"/>
                      <w:bCs/>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6</w:t>
                  </w:r>
                </w:p>
              </w:tc>
              <w:tc>
                <w:tcPr>
                  <w:tcW w:w="2335"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控制</w:t>
                  </w:r>
                  <w:r>
                    <w:rPr>
                      <w:rFonts w:ascii="Times New Roman" w:hAnsi="Times New Roman"/>
                      <w:bCs/>
                      <w:color w:val="000000"/>
                      <w:szCs w:val="21"/>
                    </w:rPr>
                    <w:t>系统</w:t>
                  </w:r>
                </w:p>
              </w:tc>
              <w:tc>
                <w:tcPr>
                  <w:tcW w:w="1621"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w:t>
                  </w:r>
                </w:p>
              </w:tc>
              <w:tc>
                <w:tcPr>
                  <w:tcW w:w="1867" w:type="dxa"/>
                  <w:vAlign w:val="center"/>
                </w:tcPr>
                <w:p>
                  <w:pPr>
                    <w:autoSpaceDE w:val="0"/>
                    <w:autoSpaceDN w:val="0"/>
                    <w:adjustRightInd w:val="0"/>
                    <w:snapToGrid w:val="0"/>
                    <w:jc w:val="center"/>
                    <w:textAlignment w:val="baseline"/>
                    <w:rPr>
                      <w:rFonts w:ascii="Times New Roman" w:hAnsi="Times New Roman"/>
                      <w:bCs/>
                      <w:color w:val="000000"/>
                      <w:szCs w:val="21"/>
                    </w:rPr>
                  </w:pPr>
                  <w:r>
                    <w:rPr>
                      <w:rFonts w:hint="eastAsia" w:ascii="Times New Roman" w:hAnsi="Times New Roman"/>
                      <w:bCs/>
                      <w:color w:val="000000"/>
                      <w:szCs w:val="21"/>
                    </w:rPr>
                    <w:t>3</w:t>
                  </w:r>
                  <w:r>
                    <w:rPr>
                      <w:rFonts w:ascii="Times New Roman" w:hAnsi="Times New Roman"/>
                      <w:bCs/>
                      <w:color w:val="00000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7</w:t>
                  </w:r>
                </w:p>
              </w:tc>
              <w:tc>
                <w:tcPr>
                  <w:tcW w:w="2335"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搅拌运输车</w:t>
                  </w:r>
                </w:p>
              </w:tc>
              <w:tc>
                <w:tcPr>
                  <w:tcW w:w="1621"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w:t>
                  </w:r>
                </w:p>
              </w:tc>
              <w:tc>
                <w:tcPr>
                  <w:tcW w:w="1867" w:type="dxa"/>
                  <w:vAlign w:val="center"/>
                </w:tcPr>
                <w:p>
                  <w:pPr>
                    <w:autoSpaceDE w:val="0"/>
                    <w:autoSpaceDN w:val="0"/>
                    <w:adjustRightInd w:val="0"/>
                    <w:snapToGrid w:val="0"/>
                    <w:jc w:val="center"/>
                    <w:textAlignment w:val="baseline"/>
                    <w:rPr>
                      <w:rFonts w:ascii="Times New Roman" w:hAnsi="Times New Roman"/>
                      <w:bCs/>
                      <w:color w:val="000000"/>
                      <w:szCs w:val="21"/>
                    </w:rPr>
                  </w:pPr>
                  <w:r>
                    <w:rPr>
                      <w:rFonts w:hint="eastAsia" w:ascii="Times New Roman" w:hAnsi="Times New Roman"/>
                      <w:bCs/>
                      <w:color w:val="000000"/>
                      <w:szCs w:val="21"/>
                    </w:rPr>
                    <w:t>30</w:t>
                  </w:r>
                  <w:r>
                    <w:rPr>
                      <w:rFonts w:ascii="Times New Roman" w:hAnsi="Times New Roman"/>
                      <w:bCs/>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8</w:t>
                  </w:r>
                </w:p>
              </w:tc>
              <w:tc>
                <w:tcPr>
                  <w:tcW w:w="2335"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实验室用具</w:t>
                  </w:r>
                </w:p>
              </w:tc>
              <w:tc>
                <w:tcPr>
                  <w:tcW w:w="1621" w:type="dxa"/>
                  <w:vAlign w:val="center"/>
                </w:tcPr>
                <w:p>
                  <w:pPr>
                    <w:snapToGrid w:val="0"/>
                    <w:jc w:val="center"/>
                    <w:rPr>
                      <w:rFonts w:ascii="Times New Roman" w:hAnsi="Times New Roman"/>
                      <w:bCs/>
                      <w:color w:val="000000"/>
                      <w:szCs w:val="21"/>
                    </w:rPr>
                  </w:pPr>
                  <w:r>
                    <w:rPr>
                      <w:rFonts w:ascii="Times New Roman" w:hAnsi="Times New Roman"/>
                      <w:bCs/>
                      <w:color w:val="000000"/>
                      <w:szCs w:val="21"/>
                    </w:rPr>
                    <w:t>——</w:t>
                  </w:r>
                </w:p>
              </w:tc>
              <w:tc>
                <w:tcPr>
                  <w:tcW w:w="1867" w:type="dxa"/>
                  <w:vAlign w:val="center"/>
                </w:tcPr>
                <w:p>
                  <w:pPr>
                    <w:autoSpaceDE w:val="0"/>
                    <w:autoSpaceDN w:val="0"/>
                    <w:adjustRightInd w:val="0"/>
                    <w:snapToGrid w:val="0"/>
                    <w:jc w:val="center"/>
                    <w:textAlignment w:val="baseline"/>
                    <w:rPr>
                      <w:rFonts w:ascii="Times New Roman" w:hAnsi="Times New Roman"/>
                      <w:bCs/>
                      <w:color w:val="000000"/>
                      <w:szCs w:val="21"/>
                    </w:rPr>
                  </w:pPr>
                  <w:r>
                    <w:rPr>
                      <w:rFonts w:ascii="Times New Roman" w:hAnsi="Times New Roman"/>
                      <w:bCs/>
                      <w:color w:val="000000"/>
                      <w:szCs w:val="21"/>
                    </w:rPr>
                    <w:t>1批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9</w:t>
                  </w:r>
                </w:p>
              </w:tc>
              <w:tc>
                <w:tcPr>
                  <w:tcW w:w="2335"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柴油</w:t>
                  </w:r>
                  <w:r>
                    <w:rPr>
                      <w:rFonts w:ascii="Times New Roman" w:hAnsi="Times New Roman"/>
                      <w:bCs/>
                      <w:color w:val="000000"/>
                      <w:szCs w:val="21"/>
                    </w:rPr>
                    <w:t>发电机</w:t>
                  </w:r>
                </w:p>
              </w:tc>
              <w:tc>
                <w:tcPr>
                  <w:tcW w:w="1621"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320Kw</w:t>
                  </w:r>
                </w:p>
              </w:tc>
              <w:tc>
                <w:tcPr>
                  <w:tcW w:w="1867" w:type="dxa"/>
                  <w:vAlign w:val="center"/>
                </w:tcPr>
                <w:p>
                  <w:pPr>
                    <w:autoSpaceDE w:val="0"/>
                    <w:autoSpaceDN w:val="0"/>
                    <w:adjustRightInd w:val="0"/>
                    <w:snapToGrid w:val="0"/>
                    <w:jc w:val="center"/>
                    <w:textAlignment w:val="baseline"/>
                    <w:rPr>
                      <w:rFonts w:ascii="Times New Roman" w:hAnsi="Times New Roman"/>
                      <w:bCs/>
                      <w:color w:val="000000"/>
                      <w:szCs w:val="21"/>
                    </w:rPr>
                  </w:pPr>
                  <w:r>
                    <w:rPr>
                      <w:rFonts w:hint="eastAsia" w:ascii="Times New Roman" w:hAnsi="Times New Roman"/>
                      <w:bCs/>
                      <w:color w:val="00000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公用</w:t>
                  </w:r>
                </w:p>
              </w:tc>
              <w:tc>
                <w:tcPr>
                  <w:tcW w:w="949"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w:t>
                  </w:r>
                </w:p>
              </w:tc>
              <w:tc>
                <w:tcPr>
                  <w:tcW w:w="2335"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w:t>
                  </w:r>
                </w:p>
              </w:tc>
              <w:tc>
                <w:tcPr>
                  <w:tcW w:w="1621"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w:t>
                  </w:r>
                </w:p>
              </w:tc>
              <w:tc>
                <w:tcPr>
                  <w:tcW w:w="1867"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贮运</w:t>
                  </w:r>
                </w:p>
              </w:tc>
              <w:tc>
                <w:tcPr>
                  <w:tcW w:w="949"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w:t>
                  </w:r>
                </w:p>
              </w:tc>
              <w:tc>
                <w:tcPr>
                  <w:tcW w:w="2335"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w:t>
                  </w:r>
                </w:p>
              </w:tc>
              <w:tc>
                <w:tcPr>
                  <w:tcW w:w="1621"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w:t>
                  </w:r>
                </w:p>
              </w:tc>
              <w:tc>
                <w:tcPr>
                  <w:tcW w:w="1867"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restart"/>
                  <w:vAlign w:val="center"/>
                </w:tcPr>
                <w:p>
                  <w:pPr>
                    <w:snapToGrid w:val="0"/>
                    <w:jc w:val="center"/>
                    <w:rPr>
                      <w:rFonts w:ascii="Times New Roman" w:hAnsi="Times New Roman"/>
                      <w:bCs/>
                      <w:color w:val="000000"/>
                      <w:szCs w:val="21"/>
                    </w:rPr>
                  </w:pPr>
                  <w:r>
                    <w:rPr>
                      <w:rFonts w:ascii="Times New Roman" w:hAnsi="Times New Roman"/>
                      <w:bCs/>
                      <w:color w:val="000000"/>
                      <w:szCs w:val="21"/>
                    </w:rPr>
                    <w:t>环保</w:t>
                  </w:r>
                </w:p>
              </w:tc>
              <w:tc>
                <w:tcPr>
                  <w:tcW w:w="949"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1</w:t>
                  </w:r>
                </w:p>
              </w:tc>
              <w:tc>
                <w:tcPr>
                  <w:tcW w:w="2335"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固废收集器皿</w:t>
                  </w:r>
                </w:p>
              </w:tc>
              <w:tc>
                <w:tcPr>
                  <w:tcW w:w="1621"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1867"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1批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2</w:t>
                  </w:r>
                </w:p>
              </w:tc>
              <w:tc>
                <w:tcPr>
                  <w:tcW w:w="2335" w:type="dxa"/>
                  <w:vAlign w:val="center"/>
                </w:tcPr>
                <w:p>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废气治理设施</w:t>
                  </w:r>
                </w:p>
              </w:tc>
              <w:tc>
                <w:tcPr>
                  <w:tcW w:w="1621"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1867" w:type="dxa"/>
                  <w:vAlign w:val="center"/>
                </w:tcPr>
                <w:p>
                  <w:pPr>
                    <w:widowControl/>
                    <w:snapToGrid w:val="0"/>
                    <w:jc w:val="center"/>
                    <w:rPr>
                      <w:rFonts w:ascii="Times New Roman" w:hAnsi="Times New Roman"/>
                      <w:bCs/>
                      <w:color w:val="000000" w:themeColor="text1"/>
                      <w:szCs w:val="21"/>
                    </w:rPr>
                  </w:pPr>
                  <w:r>
                    <w:rPr>
                      <w:rFonts w:hint="eastAsia" w:ascii="Times New Roman" w:hAnsi="Times New Roman"/>
                      <w:bCs/>
                      <w:color w:val="000000" w:themeColor="text1"/>
                      <w:szCs w:val="21"/>
                    </w:rPr>
                    <w:t>3</w:t>
                  </w:r>
                  <w:r>
                    <w:rPr>
                      <w:rFonts w:ascii="Times New Roman" w:hAnsi="Times New Roman"/>
                      <w:bCs/>
                      <w:color w:val="000000" w:themeColor="text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3</w:t>
                  </w:r>
                </w:p>
              </w:tc>
              <w:tc>
                <w:tcPr>
                  <w:tcW w:w="2335" w:type="dxa"/>
                  <w:vAlign w:val="center"/>
                </w:tcPr>
                <w:p>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噪声处理设施</w:t>
                  </w:r>
                </w:p>
              </w:tc>
              <w:tc>
                <w:tcPr>
                  <w:tcW w:w="1621"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1867" w:type="dxa"/>
                  <w:vAlign w:val="center"/>
                </w:tcPr>
                <w:p>
                  <w:pPr>
                    <w:widowControl/>
                    <w:snapToGrid w:val="0"/>
                    <w:jc w:val="center"/>
                    <w:rPr>
                      <w:rFonts w:ascii="Times New Roman" w:hAnsi="Times New Roman"/>
                      <w:bCs/>
                      <w:color w:val="000000" w:themeColor="text1"/>
                      <w:szCs w:val="21"/>
                    </w:rPr>
                  </w:pPr>
                  <w:r>
                    <w:rPr>
                      <w:rFonts w:ascii="Times New Roman" w:hAnsi="Times New Roman"/>
                      <w:bCs/>
                      <w:color w:val="000000" w:themeColor="text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66" w:type="dxa"/>
                  <w:vMerge w:val="continue"/>
                  <w:vAlign w:val="center"/>
                </w:tcPr>
                <w:p>
                  <w:pPr>
                    <w:snapToGrid w:val="0"/>
                    <w:jc w:val="center"/>
                    <w:rPr>
                      <w:rFonts w:ascii="Times New Roman" w:hAnsi="Times New Roman"/>
                      <w:bCs/>
                      <w:color w:val="000000"/>
                      <w:szCs w:val="21"/>
                    </w:rPr>
                  </w:pPr>
                </w:p>
              </w:tc>
              <w:tc>
                <w:tcPr>
                  <w:tcW w:w="949"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4</w:t>
                  </w:r>
                </w:p>
              </w:tc>
              <w:tc>
                <w:tcPr>
                  <w:tcW w:w="2335" w:type="dxa"/>
                  <w:vAlign w:val="center"/>
                </w:tcPr>
                <w:p>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废水处理设施</w:t>
                  </w:r>
                </w:p>
              </w:tc>
              <w:tc>
                <w:tcPr>
                  <w:tcW w:w="1621" w:type="dxa"/>
                  <w:vAlign w:val="center"/>
                </w:tcPr>
                <w:p>
                  <w:pPr>
                    <w:snapToGrid w:val="0"/>
                    <w:jc w:val="center"/>
                    <w:rPr>
                      <w:rFonts w:ascii="Times New Roman" w:hAnsi="Times New Roman"/>
                      <w:bCs/>
                      <w:color w:val="000000" w:themeColor="text1"/>
                      <w:szCs w:val="21"/>
                    </w:rPr>
                  </w:pPr>
                  <w:r>
                    <w:rPr>
                      <w:rFonts w:ascii="Times New Roman" w:hAnsi="Times New Roman"/>
                      <w:bCs/>
                      <w:color w:val="000000" w:themeColor="text1"/>
                      <w:szCs w:val="21"/>
                    </w:rPr>
                    <w:t>——</w:t>
                  </w:r>
                </w:p>
              </w:tc>
              <w:tc>
                <w:tcPr>
                  <w:tcW w:w="1867" w:type="dxa"/>
                  <w:vAlign w:val="center"/>
                </w:tcPr>
                <w:p>
                  <w:pPr>
                    <w:widowControl/>
                    <w:snapToGrid w:val="0"/>
                    <w:jc w:val="center"/>
                    <w:rPr>
                      <w:rFonts w:ascii="Times New Roman" w:hAnsi="Times New Roman"/>
                      <w:bCs/>
                      <w:color w:val="000000" w:themeColor="text1"/>
                      <w:szCs w:val="21"/>
                    </w:rPr>
                  </w:pPr>
                  <w:r>
                    <w:rPr>
                      <w:rFonts w:ascii="Times New Roman" w:hAnsi="Times New Roman"/>
                      <w:bCs/>
                      <w:color w:val="000000" w:themeColor="text1"/>
                      <w:szCs w:val="21"/>
                    </w:rPr>
                    <w:t>2套</w:t>
                  </w:r>
                </w:p>
              </w:tc>
            </w:tr>
          </w:tbl>
          <w:p>
            <w:pPr>
              <w:spacing w:beforeLines="50" w:line="348" w:lineRule="auto"/>
              <w:ind w:firstLine="482" w:firstLineChars="200"/>
              <w:rPr>
                <w:rFonts w:ascii="Times New Roman" w:hAnsi="Times New Roman"/>
                <w:b/>
                <w:color w:val="000000"/>
                <w:sz w:val="24"/>
              </w:rPr>
            </w:pPr>
            <w:r>
              <w:rPr>
                <w:rFonts w:ascii="Times New Roman" w:hAnsi="Times New Roman"/>
                <w:b/>
                <w:color w:val="000000"/>
                <w:sz w:val="24"/>
              </w:rPr>
              <w:t>5</w:t>
            </w:r>
            <w:r>
              <w:rPr>
                <w:rFonts w:ascii="Times New Roman" w:hAnsi="宋体"/>
                <w:b/>
                <w:color w:val="000000"/>
                <w:sz w:val="24"/>
              </w:rPr>
              <w:t>、公用工程</w:t>
            </w:r>
          </w:p>
          <w:p>
            <w:pPr>
              <w:adjustRightInd w:val="0"/>
              <w:snapToGrid w:val="0"/>
              <w:spacing w:line="348" w:lineRule="auto"/>
              <w:ind w:firstLine="482" w:firstLineChars="200"/>
              <w:rPr>
                <w:rFonts w:ascii="Times New Roman" w:hAnsi="Times New Roman"/>
                <w:b/>
                <w:color w:val="000000"/>
                <w:sz w:val="24"/>
              </w:rPr>
            </w:pPr>
            <w:r>
              <w:rPr>
                <w:rFonts w:ascii="Times New Roman" w:hAnsi="宋体"/>
                <w:b/>
                <w:color w:val="000000"/>
                <w:sz w:val="24"/>
              </w:rPr>
              <w:t>（</w:t>
            </w:r>
            <w:r>
              <w:rPr>
                <w:rFonts w:hint="eastAsia" w:ascii="Times New Roman" w:hAnsi="Times New Roman"/>
                <w:b/>
                <w:color w:val="000000"/>
                <w:sz w:val="24"/>
              </w:rPr>
              <w:t>1</w:t>
            </w:r>
            <w:r>
              <w:rPr>
                <w:rFonts w:ascii="Times New Roman" w:hAnsi="宋体"/>
                <w:b/>
                <w:color w:val="000000"/>
                <w:sz w:val="24"/>
              </w:rPr>
              <w:t>）给水系统</w:t>
            </w:r>
          </w:p>
          <w:p>
            <w:pPr>
              <w:adjustRightInd w:val="0"/>
              <w:snapToGrid w:val="0"/>
              <w:spacing w:line="348" w:lineRule="auto"/>
              <w:ind w:firstLine="480" w:firstLineChars="200"/>
              <w:rPr>
                <w:rFonts w:ascii="Times New Roman" w:hAnsi="Times New Roman"/>
                <w:color w:val="000000"/>
                <w:sz w:val="24"/>
              </w:rPr>
            </w:pPr>
            <w:r>
              <w:rPr>
                <w:rFonts w:ascii="Times New Roman" w:hAnsi="宋体"/>
                <w:color w:val="000000"/>
                <w:sz w:val="24"/>
              </w:rPr>
              <w:t>项目用水由市政供给，主要为生活用水、产品用水和清洗用水。</w:t>
            </w:r>
          </w:p>
          <w:p>
            <w:pPr>
              <w:snapToGrid w:val="0"/>
              <w:spacing w:line="348" w:lineRule="auto"/>
              <w:ind w:firstLine="482" w:firstLineChars="200"/>
              <w:rPr>
                <w:rFonts w:ascii="宋体" w:hAnsi="宋体"/>
                <w:b/>
                <w:color w:val="000000" w:themeColor="text1"/>
                <w:sz w:val="24"/>
              </w:rPr>
            </w:pPr>
            <w:r>
              <w:rPr>
                <w:rFonts w:hint="eastAsia" w:ascii="宋体" w:hAnsi="宋体"/>
                <w:b/>
                <w:color w:val="000000" w:themeColor="text1"/>
                <w:sz w:val="24"/>
              </w:rPr>
              <w:t>（2）排水系统</w:t>
            </w:r>
          </w:p>
          <w:p>
            <w:pPr>
              <w:adjustRightInd w:val="0"/>
              <w:snapToGrid w:val="0"/>
              <w:spacing w:line="348" w:lineRule="auto"/>
              <w:ind w:firstLine="480" w:firstLineChars="200"/>
              <w:rPr>
                <w:rFonts w:ascii="宋体" w:hAnsi="宋体"/>
                <w:color w:val="000000" w:themeColor="text1"/>
                <w:sz w:val="24"/>
                <w:szCs w:val="24"/>
              </w:rPr>
            </w:pPr>
            <w:r>
              <w:rPr>
                <w:rFonts w:ascii="宋体" w:hAnsi="宋体"/>
                <w:color w:val="000000" w:themeColor="text1"/>
                <w:sz w:val="24"/>
              </w:rPr>
              <w:fldChar w:fldCharType="begin"/>
            </w:r>
            <w:r>
              <w:rPr>
                <w:rFonts w:ascii="宋体" w:hAnsi="宋体"/>
                <w:color w:val="000000" w:themeColor="text1"/>
                <w:sz w:val="24"/>
              </w:rPr>
              <w:instrText xml:space="preserve"> </w:instrText>
            </w:r>
            <w:r>
              <w:rPr>
                <w:rFonts w:hint="eastAsia" w:ascii="宋体" w:hAnsi="宋体"/>
                <w:color w:val="000000" w:themeColor="text1"/>
                <w:sz w:val="24"/>
              </w:rPr>
              <w:instrText xml:space="preserve">= 1 \* GB3</w:instrText>
            </w:r>
            <w:r>
              <w:rPr>
                <w:rFonts w:ascii="宋体" w:hAnsi="宋体"/>
                <w:color w:val="000000" w:themeColor="text1"/>
                <w:sz w:val="24"/>
              </w:rPr>
              <w:instrText xml:space="preserve"> </w:instrText>
            </w:r>
            <w:r>
              <w:rPr>
                <w:rFonts w:ascii="宋体" w:hAnsi="宋体"/>
                <w:color w:val="000000" w:themeColor="text1"/>
                <w:sz w:val="24"/>
              </w:rPr>
              <w:fldChar w:fldCharType="separate"/>
            </w:r>
            <w:r>
              <w:rPr>
                <w:rFonts w:hint="eastAsia" w:ascii="宋体" w:hAnsi="宋体"/>
                <w:color w:val="000000" w:themeColor="text1"/>
                <w:sz w:val="24"/>
              </w:rPr>
              <w:t>①</w:t>
            </w:r>
            <w:r>
              <w:rPr>
                <w:rFonts w:ascii="宋体" w:hAnsi="宋体"/>
                <w:color w:val="000000" w:themeColor="text1"/>
                <w:sz w:val="24"/>
              </w:rPr>
              <w:fldChar w:fldCharType="end"/>
            </w:r>
            <w:r>
              <w:rPr>
                <w:rFonts w:hint="eastAsia" w:ascii="宋体" w:hAnsi="宋体"/>
                <w:color w:val="000000" w:themeColor="text1"/>
                <w:sz w:val="24"/>
              </w:rPr>
              <w:t>生产排水：</w:t>
            </w:r>
            <w:r>
              <w:rPr>
                <w:rFonts w:hint="eastAsia" w:ascii="宋体" w:hAnsi="宋体"/>
                <w:color w:val="000000" w:themeColor="text1"/>
                <w:sz w:val="24"/>
                <w:szCs w:val="24"/>
              </w:rPr>
              <w:t>项目混凝土搅拌机清洗废水、地面冲洗废水、车辆清洗废水经三级沉淀池+清水池处理后全部回用，不外排。</w:t>
            </w:r>
          </w:p>
          <w:p>
            <w:pPr>
              <w:spacing w:line="348" w:lineRule="auto"/>
              <w:ind w:firstLine="480" w:firstLineChars="200"/>
              <w:jc w:val="left"/>
              <w:rPr>
                <w:rFonts w:ascii="Times New Roman" w:hAnsi="Times New Roman"/>
                <w:color w:val="000000" w:themeColor="text1"/>
                <w:sz w:val="24"/>
              </w:rPr>
            </w:pPr>
            <w:r>
              <w:rPr>
                <w:rFonts w:hint="eastAsia" w:ascii="宋体" w:hAnsi="宋体"/>
                <w:color w:val="000000" w:themeColor="text1"/>
                <w:sz w:val="24"/>
                <w:szCs w:val="24"/>
              </w:rPr>
              <w:t>②生活排水：</w:t>
            </w:r>
            <w:r>
              <w:rPr>
                <w:rFonts w:ascii="Times New Roman" w:hAnsi="宋体"/>
                <w:color w:val="000000" w:themeColor="text1"/>
                <w:sz w:val="24"/>
              </w:rPr>
              <w:t>项目产生的生活污水经</w:t>
            </w:r>
            <w:r>
              <w:rPr>
                <w:rFonts w:hint="eastAsia" w:ascii="Times New Roman" w:hAnsi="宋体"/>
                <w:color w:val="000000" w:themeColor="text1"/>
                <w:sz w:val="24"/>
              </w:rPr>
              <w:t>自建</w:t>
            </w:r>
            <w:r>
              <w:rPr>
                <w:rFonts w:ascii="Times New Roman" w:hAnsi="宋体"/>
                <w:color w:val="000000" w:themeColor="text1"/>
                <w:sz w:val="24"/>
              </w:rPr>
              <w:t>化粪池</w:t>
            </w:r>
            <w:r>
              <w:rPr>
                <w:rFonts w:hint="eastAsia" w:ascii="Times New Roman" w:hAnsi="宋体"/>
                <w:color w:val="000000" w:themeColor="text1"/>
                <w:sz w:val="24"/>
              </w:rPr>
              <w:t>及生活污水处理装置处理达标</w:t>
            </w:r>
            <w:r>
              <w:rPr>
                <w:rFonts w:ascii="Times New Roman" w:hAnsi="宋体"/>
                <w:color w:val="000000" w:themeColor="text1"/>
                <w:sz w:val="24"/>
              </w:rPr>
              <w:t>后，</w:t>
            </w:r>
            <w:r>
              <w:rPr>
                <w:rFonts w:hint="eastAsia" w:ascii="Times New Roman" w:hAnsi="宋体"/>
                <w:color w:val="FF0000"/>
                <w:sz w:val="24"/>
              </w:rPr>
              <w:t>用于附近农田灌溉用水，实现废水零排放。</w:t>
            </w:r>
          </w:p>
          <w:p>
            <w:pPr>
              <w:adjustRightInd w:val="0"/>
              <w:snapToGrid w:val="0"/>
              <w:spacing w:line="348" w:lineRule="auto"/>
              <w:ind w:firstLine="482" w:firstLineChars="200"/>
              <w:rPr>
                <w:rFonts w:ascii="Times New Roman" w:hAnsi="Times New Roman"/>
                <w:b/>
                <w:color w:val="000000"/>
                <w:sz w:val="24"/>
              </w:rPr>
            </w:pPr>
            <w:r>
              <w:rPr>
                <w:rFonts w:ascii="Times New Roman" w:hAnsi="宋体"/>
                <w:b/>
                <w:color w:val="000000"/>
                <w:sz w:val="24"/>
              </w:rPr>
              <w:t>（</w:t>
            </w:r>
            <w:r>
              <w:rPr>
                <w:rFonts w:hint="eastAsia" w:ascii="Times New Roman" w:hAnsi="Times New Roman"/>
                <w:b/>
                <w:color w:val="000000"/>
                <w:sz w:val="24"/>
              </w:rPr>
              <w:t>3</w:t>
            </w:r>
            <w:r>
              <w:rPr>
                <w:rFonts w:ascii="Times New Roman" w:hAnsi="宋体"/>
                <w:b/>
                <w:color w:val="000000"/>
                <w:sz w:val="24"/>
              </w:rPr>
              <w:t>）供电系统</w:t>
            </w:r>
          </w:p>
          <w:p>
            <w:pPr>
              <w:spacing w:line="348" w:lineRule="auto"/>
              <w:ind w:firstLine="480" w:firstLineChars="200"/>
              <w:rPr>
                <w:rFonts w:ascii="Times New Roman" w:hAnsi="Times New Roman"/>
                <w:color w:val="000000"/>
                <w:sz w:val="24"/>
              </w:rPr>
            </w:pPr>
            <w:r>
              <w:rPr>
                <w:rFonts w:ascii="Times New Roman" w:hAnsi="Times New Roman"/>
                <w:color w:val="000000"/>
                <w:sz w:val="24"/>
              </w:rPr>
              <w:t>项目用电全部由市政电网供给，</w:t>
            </w:r>
            <w:r>
              <w:rPr>
                <w:rFonts w:ascii="Times New Roman"/>
                <w:color w:val="000000"/>
                <w:sz w:val="24"/>
              </w:rPr>
              <w:t>设有</w:t>
            </w:r>
            <w:r>
              <w:rPr>
                <w:rFonts w:ascii="Times New Roman" w:hAnsi="Times New Roman"/>
                <w:color w:val="000000"/>
                <w:sz w:val="24"/>
              </w:rPr>
              <w:t>1</w:t>
            </w:r>
            <w:r>
              <w:rPr>
                <w:rFonts w:ascii="Times New Roman"/>
                <w:color w:val="000000"/>
                <w:sz w:val="24"/>
              </w:rPr>
              <w:t>台功率分别为</w:t>
            </w:r>
            <w:r>
              <w:rPr>
                <w:rFonts w:hint="eastAsia" w:ascii="Times New Roman" w:hAnsi="Times New Roman"/>
                <w:color w:val="000000"/>
                <w:sz w:val="24"/>
              </w:rPr>
              <w:t>320</w:t>
            </w:r>
            <w:r>
              <w:rPr>
                <w:rFonts w:ascii="Times New Roman" w:hAnsi="Times New Roman"/>
                <w:color w:val="000000"/>
                <w:sz w:val="24"/>
              </w:rPr>
              <w:t>Kw</w:t>
            </w:r>
            <w:r>
              <w:rPr>
                <w:rFonts w:ascii="Times New Roman"/>
                <w:color w:val="000000"/>
                <w:sz w:val="24"/>
              </w:rPr>
              <w:t>的备用发电机，使用柴油作为能源。</w:t>
            </w:r>
          </w:p>
          <w:p>
            <w:pPr>
              <w:snapToGrid w:val="0"/>
              <w:spacing w:line="360" w:lineRule="auto"/>
              <w:ind w:firstLine="482" w:firstLineChars="200"/>
              <w:rPr>
                <w:rFonts w:ascii="Times New Roman" w:hAnsi="Times New Roman"/>
                <w:b/>
                <w:color w:val="000000"/>
                <w:sz w:val="24"/>
              </w:rPr>
            </w:pPr>
            <w:r>
              <w:rPr>
                <w:rFonts w:ascii="Times New Roman" w:hAnsi="Times New Roman"/>
                <w:b/>
                <w:color w:val="000000"/>
                <w:sz w:val="24"/>
              </w:rPr>
              <w:t>6</w:t>
            </w:r>
            <w:r>
              <w:rPr>
                <w:rFonts w:ascii="Times New Roman" w:hAnsi="宋体"/>
                <w:b/>
                <w:color w:val="000000"/>
                <w:sz w:val="24"/>
              </w:rPr>
              <w:t>、劳动定员及工作制度</w:t>
            </w:r>
          </w:p>
          <w:p>
            <w:pPr>
              <w:adjustRightInd w:val="0"/>
              <w:snapToGrid w:val="0"/>
              <w:spacing w:line="360" w:lineRule="auto"/>
              <w:ind w:firstLine="480" w:firstLineChars="200"/>
              <w:rPr>
                <w:rFonts w:ascii="Times New Roman" w:hAnsi="宋体"/>
                <w:color w:val="000000"/>
                <w:sz w:val="24"/>
              </w:rPr>
            </w:pPr>
            <w:r>
              <w:rPr>
                <w:rFonts w:ascii="Times New Roman" w:hAnsi="宋体"/>
                <w:color w:val="000000"/>
                <w:sz w:val="24"/>
              </w:rPr>
              <w:t>项目</w:t>
            </w:r>
            <w:r>
              <w:rPr>
                <w:rFonts w:hint="eastAsia" w:ascii="Times New Roman" w:hAnsi="宋体"/>
                <w:color w:val="000000"/>
                <w:sz w:val="24"/>
              </w:rPr>
              <w:t>运营期</w:t>
            </w:r>
            <w:r>
              <w:rPr>
                <w:rFonts w:ascii="Times New Roman" w:hAnsi="宋体"/>
                <w:color w:val="000000"/>
                <w:sz w:val="24"/>
              </w:rPr>
              <w:t>员工人数</w:t>
            </w:r>
            <w:r>
              <w:rPr>
                <w:rFonts w:hint="eastAsia" w:ascii="Times New Roman" w:hAnsi="Times New Roman"/>
                <w:color w:val="000000"/>
                <w:sz w:val="24"/>
              </w:rPr>
              <w:t>40</w:t>
            </w:r>
            <w:r>
              <w:rPr>
                <w:rFonts w:ascii="Times New Roman" w:hAnsi="宋体"/>
                <w:color w:val="000000"/>
                <w:sz w:val="24"/>
              </w:rPr>
              <w:t>人，年生产</w:t>
            </w:r>
            <w:r>
              <w:rPr>
                <w:rFonts w:ascii="Times New Roman" w:hAnsi="Times New Roman"/>
                <w:color w:val="000000"/>
                <w:sz w:val="24"/>
              </w:rPr>
              <w:t>300</w:t>
            </w:r>
            <w:r>
              <w:rPr>
                <w:rFonts w:ascii="Times New Roman" w:hAnsi="宋体"/>
                <w:color w:val="000000"/>
                <w:sz w:val="24"/>
              </w:rPr>
              <w:t>天，每天一班制，每天工作</w:t>
            </w:r>
            <w:r>
              <w:rPr>
                <w:rFonts w:ascii="Times New Roman" w:hAnsi="Times New Roman"/>
                <w:color w:val="000000"/>
                <w:sz w:val="24"/>
              </w:rPr>
              <w:t>8</w:t>
            </w:r>
            <w:r>
              <w:rPr>
                <w:rFonts w:ascii="Times New Roman" w:hAnsi="宋体"/>
                <w:color w:val="000000"/>
                <w:sz w:val="24"/>
              </w:rPr>
              <w:t>小时，员工</w:t>
            </w:r>
            <w:r>
              <w:rPr>
                <w:rFonts w:hint="eastAsia" w:ascii="Times New Roman" w:hAnsi="宋体"/>
                <w:color w:val="000000"/>
                <w:sz w:val="24"/>
              </w:rPr>
              <w:t>统一</w:t>
            </w:r>
            <w:r>
              <w:rPr>
                <w:rFonts w:ascii="Times New Roman" w:hAnsi="宋体"/>
                <w:color w:val="000000"/>
                <w:sz w:val="24"/>
              </w:rPr>
              <w:t>在项目内食宿。</w:t>
            </w:r>
          </w:p>
          <w:p>
            <w:pPr>
              <w:adjustRightInd w:val="0"/>
              <w:snapToGrid w:val="0"/>
              <w:spacing w:line="360" w:lineRule="auto"/>
              <w:ind w:firstLine="482" w:firstLineChars="200"/>
              <w:rPr>
                <w:b/>
                <w:color w:val="000000"/>
                <w:sz w:val="24"/>
                <w:szCs w:val="24"/>
              </w:rPr>
            </w:pPr>
            <w:r>
              <w:rPr>
                <w:rFonts w:hAnsi="宋体"/>
                <w:b/>
                <w:color w:val="000000"/>
                <w:sz w:val="24"/>
                <w:szCs w:val="24"/>
              </w:rPr>
              <w:t>二、项目的地理位置图及周边环境状况</w:t>
            </w:r>
          </w:p>
          <w:p>
            <w:pPr>
              <w:snapToGrid w:val="0"/>
              <w:spacing w:line="360" w:lineRule="auto"/>
              <w:ind w:firstLine="480" w:firstLineChars="200"/>
              <w:rPr>
                <w:rFonts w:ascii="Times New Roman" w:hAnsi="Times New Roman"/>
                <w:color w:val="000000" w:themeColor="text1"/>
                <w:sz w:val="24"/>
              </w:rPr>
            </w:pPr>
            <w:r>
              <w:rPr>
                <w:rFonts w:ascii="Times New Roman"/>
                <w:color w:val="000000" w:themeColor="text1"/>
                <w:sz w:val="24"/>
              </w:rPr>
              <w:t>项目</w:t>
            </w:r>
            <w:bookmarkStart w:id="2" w:name="OLE_LINK15"/>
            <w:r>
              <w:rPr>
                <w:rFonts w:ascii="Times New Roman"/>
                <w:color w:val="000000" w:themeColor="text1"/>
                <w:sz w:val="24"/>
              </w:rPr>
              <w:t>位于</w:t>
            </w:r>
            <w:r>
              <w:rPr>
                <w:rFonts w:hint="eastAsia" w:ascii="Times New Roman"/>
                <w:color w:val="000000" w:themeColor="text1"/>
                <w:sz w:val="24"/>
              </w:rPr>
              <w:t>汕尾市</w:t>
            </w:r>
            <w:r>
              <w:rPr>
                <w:rFonts w:ascii="Times New Roman"/>
                <w:color w:val="000000" w:themeColor="text1"/>
                <w:sz w:val="24"/>
              </w:rPr>
              <w:t>红海湾开发区田墘街道石新村委小马巷村后面荒山坡地</w:t>
            </w:r>
            <w:r>
              <w:rPr>
                <w:rFonts w:hint="eastAsia" w:ascii="Times New Roman"/>
                <w:color w:val="000000" w:themeColor="text1"/>
                <w:sz w:val="24"/>
              </w:rPr>
              <w:t>，</w:t>
            </w:r>
            <w:r>
              <w:rPr>
                <w:rFonts w:ascii="Times New Roman"/>
                <w:color w:val="000000" w:themeColor="text1"/>
                <w:sz w:val="24"/>
              </w:rPr>
              <w:t>与捷胜镇北门村委交界处。</w:t>
            </w:r>
            <w:bookmarkEnd w:id="2"/>
            <w:r>
              <w:rPr>
                <w:rFonts w:ascii="Times New Roman" w:hAnsi="Times New Roman"/>
                <w:color w:val="000000" w:themeColor="text1"/>
                <w:spacing w:val="-6"/>
                <w:sz w:val="24"/>
              </w:rPr>
              <w:t>项目</w:t>
            </w:r>
            <w:r>
              <w:rPr>
                <w:rFonts w:hint="eastAsia" w:ascii="Times New Roman" w:hAnsi="Times New Roman"/>
                <w:color w:val="000000" w:themeColor="text1"/>
                <w:spacing w:val="-6"/>
                <w:sz w:val="24"/>
              </w:rPr>
              <w:t>西面为三一重工工地，其他方位为山地及空地</w:t>
            </w:r>
            <w:r>
              <w:rPr>
                <w:rFonts w:ascii="Times New Roman" w:hAnsi="Times New Roman"/>
                <w:color w:val="000000" w:themeColor="text1"/>
                <w:spacing w:val="-6"/>
                <w:sz w:val="24"/>
              </w:rPr>
              <w:t>。</w:t>
            </w:r>
            <w:r>
              <w:rPr>
                <w:rFonts w:ascii="Times New Roman" w:hAnsi="Times New Roman"/>
                <w:color w:val="000000" w:themeColor="text1"/>
                <w:sz w:val="24"/>
                <w:szCs w:val="24"/>
              </w:rPr>
              <w:t>项目地理位置图</w:t>
            </w:r>
            <w:r>
              <w:rPr>
                <w:rFonts w:ascii="Times New Roman" w:hAnsi="Times New Roman"/>
                <w:bCs/>
                <w:color w:val="000000" w:themeColor="text1"/>
                <w:sz w:val="24"/>
                <w:szCs w:val="36"/>
              </w:rPr>
              <w:t>见附图1，</w:t>
            </w:r>
            <w:r>
              <w:rPr>
                <w:rFonts w:ascii="Times New Roman" w:hAnsi="Times New Roman"/>
                <w:color w:val="000000" w:themeColor="text1"/>
                <w:sz w:val="24"/>
                <w:szCs w:val="24"/>
              </w:rPr>
              <w:t>项目四至图</w:t>
            </w:r>
            <w:r>
              <w:rPr>
                <w:rFonts w:ascii="Times New Roman" w:hAnsi="Times New Roman"/>
                <w:bCs/>
                <w:color w:val="000000" w:themeColor="text1"/>
                <w:sz w:val="24"/>
                <w:szCs w:val="36"/>
              </w:rPr>
              <w:t>见附图2，</w:t>
            </w:r>
            <w:r>
              <w:rPr>
                <w:rFonts w:ascii="Times New Roman" w:hAnsi="Times New Roman"/>
                <w:bCs/>
                <w:color w:val="000000" w:themeColor="text1"/>
                <w:sz w:val="24"/>
                <w:szCs w:val="24"/>
              </w:rPr>
              <w:t>项目选址</w:t>
            </w:r>
            <w:r>
              <w:rPr>
                <w:rFonts w:ascii="Times New Roman" w:hAnsi="Times New Roman"/>
                <w:color w:val="000000" w:themeColor="text1"/>
                <w:sz w:val="24"/>
                <w:szCs w:val="24"/>
              </w:rPr>
              <w:t>现状</w:t>
            </w:r>
            <w:r>
              <w:rPr>
                <w:rFonts w:ascii="Times New Roman" w:hAnsi="Times New Roman"/>
                <w:bCs/>
                <w:color w:val="000000" w:themeColor="text1"/>
                <w:sz w:val="24"/>
                <w:szCs w:val="36"/>
              </w:rPr>
              <w:t>见附图3。</w:t>
            </w:r>
          </w:p>
          <w:p>
            <w:pPr>
              <w:adjustRightInd w:val="0"/>
              <w:snapToGrid w:val="0"/>
              <w:spacing w:beforeLines="50" w:line="348" w:lineRule="auto"/>
              <w:ind w:firstLine="482" w:firstLineChars="200"/>
              <w:rPr>
                <w:rFonts w:ascii="Times New Roman" w:hAnsi="Times New Roman"/>
                <w:color w:val="000000" w:themeColor="text1"/>
                <w:sz w:val="24"/>
                <w:szCs w:val="24"/>
              </w:rPr>
            </w:pPr>
            <w:r>
              <w:rPr>
                <w:rFonts w:hint="eastAsia" w:ascii="Times New Roman" w:hAnsi="宋体"/>
                <w:b/>
                <w:color w:val="000000" w:themeColor="text1"/>
                <w:sz w:val="24"/>
                <w:szCs w:val="24"/>
              </w:rPr>
              <w:t>三</w:t>
            </w:r>
            <w:r>
              <w:rPr>
                <w:rFonts w:ascii="Times New Roman" w:hAnsi="宋体"/>
                <w:b/>
                <w:color w:val="000000" w:themeColor="text1"/>
                <w:sz w:val="24"/>
                <w:szCs w:val="24"/>
              </w:rPr>
              <w:t>、与项目有关的原有污染情况及主要环境问题</w:t>
            </w:r>
          </w:p>
          <w:p>
            <w:pPr>
              <w:snapToGrid w:val="0"/>
              <w:spacing w:line="360" w:lineRule="auto"/>
              <w:ind w:firstLine="480" w:firstLineChars="200"/>
              <w:rPr>
                <w:rFonts w:ascii="Times New Roman" w:hAnsi="宋体"/>
                <w:color w:val="000000" w:themeColor="text1"/>
                <w:kern w:val="0"/>
                <w:sz w:val="24"/>
              </w:rPr>
            </w:pPr>
            <w:r>
              <w:rPr>
                <w:rFonts w:ascii="Times New Roman" w:hAnsi="宋体"/>
                <w:color w:val="000000" w:themeColor="text1"/>
                <w:kern w:val="0"/>
                <w:sz w:val="24"/>
              </w:rPr>
              <w:t>项目属新建项目，</w:t>
            </w:r>
            <w:r>
              <w:rPr>
                <w:rFonts w:hint="eastAsia" w:ascii="Times New Roman" w:hAnsi="宋体"/>
                <w:color w:val="000000" w:themeColor="text1"/>
                <w:kern w:val="0"/>
                <w:sz w:val="24"/>
              </w:rPr>
              <w:t>不存在原有的环境污染问题。</w:t>
            </w:r>
          </w:p>
          <w:p>
            <w:pPr>
              <w:adjustRightInd w:val="0"/>
              <w:snapToGrid w:val="0"/>
              <w:spacing w:line="348" w:lineRule="auto"/>
              <w:rPr>
                <w:rFonts w:ascii="Times New Roman" w:hAnsi="Times New Roman"/>
                <w:color w:val="FF0000"/>
                <w:sz w:val="18"/>
                <w:szCs w:val="18"/>
                <w:highlight w:val="yellow"/>
              </w:rPr>
            </w:pPr>
          </w:p>
          <w:p>
            <w:pPr>
              <w:adjustRightInd w:val="0"/>
              <w:snapToGrid w:val="0"/>
              <w:spacing w:line="348" w:lineRule="auto"/>
              <w:rPr>
                <w:rFonts w:ascii="Times New Roman" w:hAnsi="Times New Roman"/>
                <w:color w:val="FF0000"/>
                <w:sz w:val="18"/>
                <w:szCs w:val="18"/>
                <w:highlight w:val="yellow"/>
              </w:rPr>
            </w:pPr>
          </w:p>
        </w:tc>
      </w:tr>
    </w:tbl>
    <w:p>
      <w:pPr>
        <w:pStyle w:val="2"/>
        <w:jc w:val="both"/>
        <w:rPr>
          <w:rFonts w:ascii="Times New Roman" w:hAnsi="Times New Roman"/>
          <w:b/>
          <w:color w:val="000000" w:themeColor="text1"/>
          <w:sz w:val="28"/>
        </w:rPr>
      </w:pPr>
      <w:bookmarkStart w:id="3" w:name="_Toc240863951"/>
      <w:bookmarkStart w:id="4" w:name="_Toc236472096"/>
      <w:r>
        <w:rPr>
          <w:rFonts w:ascii="Times New Roman" w:hAnsi="宋体"/>
          <w:b/>
          <w:color w:val="000000" w:themeColor="text1"/>
          <w:sz w:val="28"/>
        </w:rPr>
        <w:t>项目所在地自然环境社会环境简况</w:t>
      </w:r>
      <w:bookmarkEnd w:id="3"/>
      <w:bookmarkEnd w:id="4"/>
    </w:p>
    <w:tbl>
      <w:tblPr>
        <w:tblStyle w:val="27"/>
        <w:tblW w:w="8680"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68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6" w:hRule="atLeast"/>
          <w:jc w:val="center"/>
        </w:trPr>
        <w:tc>
          <w:tcPr>
            <w:tcW w:w="8680" w:type="dxa"/>
            <w:tcBorders>
              <w:top w:val="single" w:color="auto" w:sz="12" w:space="0"/>
              <w:bottom w:val="single" w:color="auto" w:sz="12" w:space="0"/>
            </w:tcBorders>
            <w:vAlign w:val="center"/>
          </w:tcPr>
          <w:p>
            <w:pPr>
              <w:spacing w:line="353" w:lineRule="auto"/>
              <w:jc w:val="center"/>
              <w:rPr>
                <w:rFonts w:ascii="Times New Roman" w:hAnsi="Times New Roman"/>
                <w:b/>
                <w:color w:val="000000" w:themeColor="text1"/>
                <w:sz w:val="18"/>
                <w:szCs w:val="18"/>
              </w:rPr>
            </w:pPr>
            <w:r>
              <w:rPr>
                <w:rFonts w:ascii="Times New Roman" w:hAnsi="宋体"/>
                <w:b/>
                <w:color w:val="000000" w:themeColor="text1"/>
                <w:sz w:val="24"/>
                <w:szCs w:val="24"/>
              </w:rPr>
              <w:t>自然环境简况（地形、地貌、地质、气候、气象、水文、植被、生物多样性等）：</w:t>
            </w:r>
          </w:p>
          <w:p>
            <w:pPr>
              <w:autoSpaceDE w:val="0"/>
              <w:autoSpaceDN w:val="0"/>
              <w:adjustRightInd w:val="0"/>
              <w:spacing w:line="360" w:lineRule="auto"/>
              <w:ind w:firstLine="472" w:firstLineChars="196"/>
              <w:jc w:val="left"/>
              <w:rPr>
                <w:rFonts w:ascii="Times New Roman" w:hAnsi="Times New Roman" w:eastAsiaTheme="minorEastAsia"/>
                <w:b/>
                <w:color w:val="000000" w:themeColor="text1"/>
                <w:kern w:val="0"/>
                <w:sz w:val="24"/>
                <w:szCs w:val="24"/>
              </w:rPr>
            </w:pPr>
            <w:r>
              <w:rPr>
                <w:rFonts w:ascii="Times New Roman" w:hAnsi="Times New Roman" w:eastAsiaTheme="minorEastAsia"/>
                <w:b/>
                <w:bCs/>
                <w:color w:val="000000" w:themeColor="text1"/>
                <w:kern w:val="0"/>
                <w:sz w:val="24"/>
                <w:szCs w:val="24"/>
              </w:rPr>
              <w:t>1</w:t>
            </w:r>
            <w:r>
              <w:rPr>
                <w:rFonts w:ascii="Times New Roman" w:hAnsiTheme="minorEastAsia" w:eastAsiaTheme="minorEastAsia"/>
                <w:b/>
                <w:color w:val="000000" w:themeColor="text1"/>
                <w:kern w:val="0"/>
                <w:sz w:val="24"/>
                <w:szCs w:val="24"/>
              </w:rPr>
              <w:t>、地理位置</w:t>
            </w:r>
          </w:p>
          <w:p>
            <w:pPr>
              <w:autoSpaceDE w:val="0"/>
              <w:autoSpaceDN w:val="0"/>
              <w:adjustRightInd w:val="0"/>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本项目位于</w:t>
            </w:r>
            <w:r>
              <w:rPr>
                <w:rFonts w:hint="eastAsia" w:ascii="Times New Roman" w:hAnsi="宋体"/>
                <w:color w:val="000000" w:themeColor="text1"/>
                <w:sz w:val="24"/>
              </w:rPr>
              <w:t>汕尾市</w:t>
            </w:r>
            <w:r>
              <w:rPr>
                <w:rFonts w:ascii="Times New Roman" w:hAnsi="宋体"/>
                <w:color w:val="000000" w:themeColor="text1"/>
                <w:sz w:val="24"/>
              </w:rPr>
              <w:t>红海湾经济开发区</w:t>
            </w:r>
            <w:r>
              <w:rPr>
                <w:rFonts w:ascii="Times New Roman" w:hAnsiTheme="minorEastAsia" w:eastAsiaTheme="minorEastAsia"/>
                <w:color w:val="000000" w:themeColor="text1"/>
                <w:kern w:val="0"/>
                <w:sz w:val="24"/>
                <w:szCs w:val="24"/>
              </w:rPr>
              <w:t>，项目所在地中心坐标为北纬</w:t>
            </w:r>
            <w:r>
              <w:rPr>
                <w:rFonts w:ascii="Times New Roman" w:hAnsi="Times New Roman" w:eastAsiaTheme="minorEastAsia"/>
                <w:color w:val="000000" w:themeColor="text1"/>
                <w:kern w:val="0"/>
                <w:sz w:val="24"/>
                <w:szCs w:val="24"/>
              </w:rPr>
              <w:t>22°40'3.23"</w:t>
            </w:r>
            <w:r>
              <w:rPr>
                <w:rFonts w:ascii="Times New Roman" w:hAnsiTheme="minorEastAsia" w:eastAsiaTheme="minorEastAsia"/>
                <w:color w:val="000000" w:themeColor="text1"/>
                <w:kern w:val="0"/>
                <w:sz w:val="24"/>
                <w:szCs w:val="24"/>
              </w:rPr>
              <w:t>，东经</w:t>
            </w:r>
            <w:r>
              <w:rPr>
                <w:rFonts w:ascii="Times New Roman" w:hAnsi="Times New Roman" w:eastAsiaTheme="minorEastAsia"/>
                <w:color w:val="000000" w:themeColor="text1"/>
                <w:kern w:val="0"/>
                <w:sz w:val="24"/>
                <w:szCs w:val="24"/>
              </w:rPr>
              <w:t>115°34'1.81"</w:t>
            </w:r>
            <w:r>
              <w:rPr>
                <w:rFonts w:ascii="Times New Roman" w:hAnsiTheme="minorEastAsia" w:eastAsiaTheme="minorEastAsia"/>
                <w:color w:val="000000" w:themeColor="text1"/>
                <w:kern w:val="0"/>
                <w:sz w:val="24"/>
                <w:szCs w:val="24"/>
              </w:rPr>
              <w:t>。</w:t>
            </w:r>
          </w:p>
          <w:p>
            <w:pPr>
              <w:autoSpaceDE w:val="0"/>
              <w:autoSpaceDN w:val="0"/>
              <w:adjustRightInd w:val="0"/>
              <w:spacing w:line="360" w:lineRule="auto"/>
              <w:ind w:firstLine="480" w:firstLineChars="200"/>
              <w:rPr>
                <w:rFonts w:ascii="Times New Roman" w:hAnsiTheme="minorEastAsia" w:eastAsiaTheme="minorEastAsia"/>
                <w:color w:val="FF0000"/>
                <w:kern w:val="0"/>
                <w:sz w:val="24"/>
                <w:szCs w:val="24"/>
              </w:rPr>
            </w:pPr>
            <w:r>
              <w:rPr>
                <w:rFonts w:ascii="Times New Roman" w:hAnsiTheme="minorEastAsia" w:eastAsiaTheme="minorEastAsia"/>
                <w:color w:val="FF0000"/>
                <w:kern w:val="0"/>
                <w:sz w:val="24"/>
                <w:szCs w:val="24"/>
              </w:rPr>
              <w:t>红海湾开发区地处汕尾市区东部18公里处，东临碣石湾，南依红海湾，西与汕尾市城区东涌镇、捷胜镇相连，北与海丰县大湖镇、赤坑镇接壤，陆地99平方公里，可供开发的土地资源近13.95平方公里，海岸线长72海里。有遮浪港和东洲港两个港口，白沙湖、四石柱湖两大咸水湖和遮浪南澳、施公寮两大半岛。海路东往汕头70海里，西至香港82海里；陆路经汕尾市区东到汕头200公里,西到深圳210公里，广州330公里。</w:t>
            </w:r>
          </w:p>
          <w:p>
            <w:pPr>
              <w:autoSpaceDE w:val="0"/>
              <w:autoSpaceDN w:val="0"/>
              <w:adjustRightInd w:val="0"/>
              <w:spacing w:line="360" w:lineRule="auto"/>
              <w:ind w:firstLine="482" w:firstLineChars="200"/>
              <w:jc w:val="left"/>
              <w:rPr>
                <w:rFonts w:ascii="Times New Roman" w:hAnsiTheme="minorEastAsia" w:eastAsiaTheme="minorEastAsia"/>
                <w:b/>
                <w:color w:val="000000" w:themeColor="text1"/>
                <w:kern w:val="0"/>
                <w:sz w:val="24"/>
                <w:szCs w:val="24"/>
              </w:rPr>
            </w:pPr>
            <w:r>
              <w:rPr>
                <w:rFonts w:ascii="Times New Roman" w:hAnsi="Times New Roman" w:eastAsiaTheme="minorEastAsia"/>
                <w:b/>
                <w:bCs/>
                <w:color w:val="000000" w:themeColor="text1"/>
                <w:kern w:val="0"/>
                <w:sz w:val="24"/>
                <w:szCs w:val="24"/>
              </w:rPr>
              <w:t>2</w:t>
            </w:r>
            <w:r>
              <w:rPr>
                <w:rFonts w:ascii="Times New Roman" w:hAnsiTheme="minorEastAsia" w:eastAsiaTheme="minorEastAsia"/>
                <w:b/>
                <w:color w:val="000000" w:themeColor="text1"/>
                <w:kern w:val="0"/>
                <w:sz w:val="24"/>
                <w:szCs w:val="24"/>
              </w:rPr>
              <w:t>、地质地貌</w:t>
            </w:r>
          </w:p>
          <w:p>
            <w:pPr>
              <w:autoSpaceDE w:val="0"/>
              <w:autoSpaceDN w:val="0"/>
              <w:adjustRightInd w:val="0"/>
              <w:spacing w:line="360" w:lineRule="auto"/>
              <w:ind w:firstLine="480" w:firstLineChars="200"/>
              <w:rPr>
                <w:rFonts w:ascii="Times New Roman" w:hAnsi="Times New Roman" w:eastAsiaTheme="minorEastAsia"/>
                <w:color w:val="FF0000"/>
                <w:kern w:val="0"/>
                <w:sz w:val="24"/>
                <w:szCs w:val="24"/>
              </w:rPr>
            </w:pPr>
            <w:r>
              <w:rPr>
                <w:rFonts w:ascii="Times New Roman" w:hAnsiTheme="minorEastAsia" w:eastAsiaTheme="minorEastAsia"/>
                <w:color w:val="FF0000"/>
                <w:kern w:val="0"/>
                <w:sz w:val="24"/>
                <w:szCs w:val="24"/>
              </w:rPr>
              <w:t>红海湾开发区背山面海，由于历次地壳运动褶皱、断裂和火山岩隆起的影响，造成境内山地、台地、丘陵、平原、河流、滩涂和海洋各种地形类兼有的复杂地貌。本地区</w:t>
            </w:r>
            <w:r>
              <w:rPr>
                <w:rFonts w:hint="eastAsia" w:ascii="Times New Roman" w:hAnsiTheme="minorEastAsia" w:eastAsiaTheme="minorEastAsia"/>
                <w:color w:val="FF0000"/>
                <w:kern w:val="0"/>
                <w:sz w:val="24"/>
                <w:szCs w:val="24"/>
              </w:rPr>
              <w:t>山坡连绵起伏，湖泊、岛屿、港湾、礁岩交错，沙滩蜿蜒舒展，海岛风光秀丽，自然景观多彩多姿，人文古迹众多，具有独特的亚热带海滨风光，旅游业发展前景十分广阔。</w:t>
            </w:r>
            <w:r>
              <w:rPr>
                <w:rFonts w:ascii="Times New Roman" w:hAnsiTheme="minorEastAsia" w:eastAsiaTheme="minorEastAsia"/>
                <w:color w:val="FF0000"/>
                <w:kern w:val="0"/>
                <w:sz w:val="24"/>
                <w:szCs w:val="24"/>
              </w:rPr>
              <w:t>本地区地层、岩浆出露情况较好，中东部平原区大部分为燕山期岩浆岩</w:t>
            </w:r>
            <w:r>
              <w:rPr>
                <w:rFonts w:ascii="Times New Roman" w:hAnsi="Times New Roman" w:eastAsiaTheme="minorEastAsia"/>
                <w:color w:val="FF0000"/>
                <w:kern w:val="0"/>
                <w:sz w:val="24"/>
                <w:szCs w:val="24"/>
              </w:rPr>
              <w:t>(</w:t>
            </w:r>
            <w:r>
              <w:rPr>
                <w:rFonts w:ascii="Times New Roman" w:hAnsiTheme="minorEastAsia" w:eastAsiaTheme="minorEastAsia"/>
                <w:color w:val="FF0000"/>
                <w:kern w:val="0"/>
                <w:sz w:val="24"/>
                <w:szCs w:val="24"/>
              </w:rPr>
              <w:t>包括火山岩</w:t>
            </w:r>
            <w:r>
              <w:rPr>
                <w:rFonts w:ascii="Times New Roman" w:hAnsi="Times New Roman" w:eastAsiaTheme="minorEastAsia"/>
                <w:color w:val="FF0000"/>
                <w:kern w:val="0"/>
                <w:sz w:val="24"/>
                <w:szCs w:val="24"/>
              </w:rPr>
              <w:t>)</w:t>
            </w:r>
            <w:r>
              <w:rPr>
                <w:rFonts w:ascii="Times New Roman" w:hAnsiTheme="minorEastAsia" w:eastAsiaTheme="minorEastAsia"/>
                <w:color w:val="FF0000"/>
                <w:kern w:val="0"/>
                <w:sz w:val="24"/>
                <w:szCs w:val="24"/>
              </w:rPr>
              <w:t>和第四系覆盖。出露地层较简单，以中生代地层为主，且仅见晚三叠统大顶</w:t>
            </w:r>
            <w:r>
              <w:rPr>
                <w:rFonts w:ascii="Times New Roman" w:hAnsi="Times New Roman" w:eastAsiaTheme="minorEastAsia"/>
                <w:color w:val="FF0000"/>
                <w:kern w:val="0"/>
                <w:sz w:val="24"/>
                <w:szCs w:val="24"/>
              </w:rPr>
              <w:t>(</w:t>
            </w:r>
            <w:r>
              <w:rPr>
                <w:rFonts w:ascii="Times New Roman" w:hAnsiTheme="minorEastAsia" w:eastAsiaTheme="minorEastAsia"/>
                <w:color w:val="FF0000"/>
                <w:kern w:val="0"/>
                <w:sz w:val="24"/>
                <w:szCs w:val="24"/>
              </w:rPr>
              <w:t>小坪</w:t>
            </w:r>
            <w:r>
              <w:rPr>
                <w:rFonts w:ascii="Times New Roman" w:hAnsi="Times New Roman" w:eastAsiaTheme="minorEastAsia"/>
                <w:color w:val="FF0000"/>
                <w:kern w:val="0"/>
                <w:sz w:val="24"/>
                <w:szCs w:val="24"/>
              </w:rPr>
              <w:t>)</w:t>
            </w:r>
            <w:r>
              <w:rPr>
                <w:rFonts w:ascii="Times New Roman" w:hAnsiTheme="minorEastAsia" w:eastAsiaTheme="minorEastAsia"/>
                <w:color w:val="FF0000"/>
                <w:kern w:val="0"/>
                <w:sz w:val="24"/>
                <w:szCs w:val="24"/>
              </w:rPr>
              <w:t>组、下侏罗统金鸡组和上侏罗统高基坪群。地层普遍受不同区域动力变质作用具有片理化。岩石主要有花岗岩、砂页岩及第四系冲积砂砾层等组成。经过大自然和人类活动的作用，构成复杂的土壤类型。在区域地质上，该场地位于燕山三期花岗岩汕尾岩体的南东部，场地及附近的基底岩石都是中粗粒黑云母花岗岩，局部有后期细粒花岗岩脉、中性岩脉侵入，未见有明显的断裂构造和其他不良地质现象，属比较稳定的区域。本区位于区域基本地震烈度Ⅶ度范围。</w:t>
            </w:r>
          </w:p>
          <w:p>
            <w:pPr>
              <w:autoSpaceDE w:val="0"/>
              <w:autoSpaceDN w:val="0"/>
              <w:adjustRightInd w:val="0"/>
              <w:spacing w:line="360" w:lineRule="auto"/>
              <w:ind w:firstLine="472" w:firstLineChars="196"/>
              <w:jc w:val="left"/>
              <w:rPr>
                <w:rFonts w:ascii="Times New Roman" w:hAnsi="Times New Roman" w:eastAsiaTheme="minorEastAsia"/>
                <w:b/>
                <w:color w:val="000000" w:themeColor="text1"/>
                <w:kern w:val="0"/>
                <w:sz w:val="24"/>
                <w:szCs w:val="24"/>
              </w:rPr>
            </w:pPr>
            <w:r>
              <w:rPr>
                <w:rFonts w:ascii="Times New Roman" w:hAnsi="Times New Roman" w:eastAsiaTheme="minorEastAsia"/>
                <w:b/>
                <w:bCs/>
                <w:color w:val="000000" w:themeColor="text1"/>
                <w:kern w:val="0"/>
                <w:sz w:val="24"/>
                <w:szCs w:val="24"/>
              </w:rPr>
              <w:t>3</w:t>
            </w:r>
            <w:r>
              <w:rPr>
                <w:rFonts w:ascii="Times New Roman" w:hAnsiTheme="minorEastAsia" w:eastAsiaTheme="minorEastAsia"/>
                <w:b/>
                <w:color w:val="000000" w:themeColor="text1"/>
                <w:kern w:val="0"/>
                <w:sz w:val="24"/>
                <w:szCs w:val="24"/>
              </w:rPr>
              <w:t>、气象气候特征</w:t>
            </w:r>
          </w:p>
          <w:p>
            <w:pPr>
              <w:autoSpaceDE w:val="0"/>
              <w:autoSpaceDN w:val="0"/>
              <w:adjustRightInd w:val="0"/>
              <w:spacing w:line="360" w:lineRule="auto"/>
              <w:ind w:firstLine="480" w:firstLineChars="200"/>
              <w:rPr>
                <w:rFonts w:ascii="Times New Roman" w:hAnsi="Times New Roman" w:eastAsiaTheme="minorEastAsia"/>
                <w:color w:val="FF0000"/>
                <w:kern w:val="0"/>
                <w:sz w:val="24"/>
                <w:szCs w:val="24"/>
              </w:rPr>
            </w:pPr>
            <w:r>
              <w:rPr>
                <w:rFonts w:ascii="Times New Roman" w:hAnsiTheme="minorEastAsia" w:eastAsiaTheme="minorEastAsia"/>
                <w:color w:val="FF0000"/>
                <w:kern w:val="0"/>
                <w:sz w:val="24"/>
                <w:szCs w:val="24"/>
              </w:rPr>
              <w:t>红海湾开发区属于亚热带海洋性气候，</w:t>
            </w:r>
            <w:r>
              <w:rPr>
                <w:rFonts w:hint="eastAsia" w:ascii="Times New Roman" w:hAnsiTheme="minorEastAsia" w:eastAsiaTheme="minorEastAsia"/>
                <w:color w:val="FF0000"/>
                <w:kern w:val="0"/>
                <w:sz w:val="24"/>
                <w:szCs w:val="24"/>
              </w:rPr>
              <w:t>气候温暖，多年年平均气温为22℃左右，年平均最高气温26℃左右，年平均最低气温19℃左右，水稻安全生长期约260天左右。境内雨量充沛，多年年平均降雨量为1900～2500毫米，最多年的年雨量可达3728毫米。雨热同季是地区气候特点之一，雨季始于3月下旬到4月上旬，终于10月中旬；每年4～9月的汛期，既是一年之中热量最多的季节，</w:t>
            </w:r>
            <w:r>
              <w:rPr>
                <w:rFonts w:ascii="Times New Roman" w:hAnsiTheme="minorEastAsia" w:eastAsiaTheme="minorEastAsia"/>
                <w:color w:val="FF0000"/>
                <w:kern w:val="0"/>
                <w:sz w:val="24"/>
                <w:szCs w:val="24"/>
              </w:rPr>
              <w:t>年平均风速</w:t>
            </w:r>
            <w:r>
              <w:rPr>
                <w:rFonts w:ascii="Times New Roman" w:hAnsi="Times New Roman" w:eastAsiaTheme="minorEastAsia"/>
                <w:color w:val="FF0000"/>
                <w:kern w:val="0"/>
                <w:sz w:val="24"/>
                <w:szCs w:val="24"/>
              </w:rPr>
              <w:t>2.6m/s</w:t>
            </w:r>
            <w:r>
              <w:rPr>
                <w:rFonts w:ascii="Times New Roman" w:hAnsiTheme="minorEastAsia" w:eastAsiaTheme="minorEastAsia"/>
                <w:color w:val="FF0000"/>
                <w:kern w:val="0"/>
                <w:sz w:val="24"/>
                <w:szCs w:val="24"/>
              </w:rPr>
              <w:t>，主导风向为</w:t>
            </w:r>
            <w:r>
              <w:rPr>
                <w:rFonts w:ascii="Times New Roman" w:hAnsi="Times New Roman" w:eastAsiaTheme="minorEastAsia"/>
                <w:color w:val="FF0000"/>
                <w:kern w:val="0"/>
                <w:sz w:val="24"/>
                <w:szCs w:val="24"/>
              </w:rPr>
              <w:t>ENE</w:t>
            </w:r>
            <w:r>
              <w:rPr>
                <w:rFonts w:ascii="Times New Roman" w:hAnsiTheme="minorEastAsia" w:eastAsiaTheme="minorEastAsia"/>
                <w:color w:val="FF0000"/>
                <w:kern w:val="0"/>
                <w:sz w:val="24"/>
                <w:szCs w:val="24"/>
              </w:rPr>
              <w:t>风；全</w:t>
            </w:r>
            <w:r>
              <w:rPr>
                <w:rFonts w:hint="eastAsia" w:ascii="Times New Roman" w:hAnsiTheme="minorEastAsia" w:eastAsiaTheme="minorEastAsia"/>
                <w:color w:val="FF0000"/>
                <w:kern w:val="0"/>
                <w:sz w:val="24"/>
                <w:szCs w:val="24"/>
              </w:rPr>
              <w:t>区</w:t>
            </w:r>
            <w:r>
              <w:rPr>
                <w:rFonts w:ascii="Times New Roman" w:hAnsiTheme="minorEastAsia" w:eastAsiaTheme="minorEastAsia"/>
                <w:color w:val="FF0000"/>
                <w:kern w:val="0"/>
                <w:sz w:val="24"/>
                <w:szCs w:val="24"/>
              </w:rPr>
              <w:t>境内太阳辐射总量年平均</w:t>
            </w:r>
            <w:r>
              <w:rPr>
                <w:rFonts w:ascii="Times New Roman" w:hAnsi="Times New Roman" w:eastAsiaTheme="minorEastAsia"/>
                <w:color w:val="FF0000"/>
                <w:kern w:val="0"/>
                <w:sz w:val="24"/>
                <w:szCs w:val="24"/>
              </w:rPr>
              <w:t xml:space="preserve">120 </w:t>
            </w:r>
            <w:r>
              <w:rPr>
                <w:rFonts w:ascii="Times New Roman" w:hAnsiTheme="minorEastAsia" w:eastAsiaTheme="minorEastAsia"/>
                <w:color w:val="FF0000"/>
                <w:kern w:val="0"/>
                <w:sz w:val="24"/>
                <w:szCs w:val="24"/>
              </w:rPr>
              <w:t>千卡</w:t>
            </w:r>
            <w:r>
              <w:rPr>
                <w:rFonts w:ascii="Times New Roman" w:hAnsi="Times New Roman" w:eastAsiaTheme="minorEastAsia"/>
                <w:color w:val="FF0000"/>
                <w:kern w:val="0"/>
                <w:sz w:val="24"/>
                <w:szCs w:val="24"/>
              </w:rPr>
              <w:t>/cm</w:t>
            </w:r>
            <w:r>
              <w:rPr>
                <w:rFonts w:ascii="Times New Roman" w:hAnsi="Times New Roman" w:eastAsiaTheme="minorEastAsia"/>
                <w:color w:val="FF0000"/>
                <w:kern w:val="0"/>
                <w:sz w:val="24"/>
                <w:szCs w:val="24"/>
                <w:vertAlign w:val="superscript"/>
              </w:rPr>
              <w:t>2</w:t>
            </w:r>
            <w:r>
              <w:rPr>
                <w:rFonts w:ascii="Times New Roman" w:hAnsiTheme="minorEastAsia" w:eastAsiaTheme="minorEastAsia"/>
                <w:color w:val="FF0000"/>
                <w:kern w:val="0"/>
                <w:sz w:val="24"/>
                <w:szCs w:val="24"/>
              </w:rPr>
              <w:t>以上，光合潜力每</w:t>
            </w:r>
            <w:r>
              <w:rPr>
                <w:rFonts w:ascii="Times New Roman" w:hAnsi="Times New Roman" w:eastAsiaTheme="minorEastAsia"/>
                <w:color w:val="FF0000"/>
                <w:kern w:val="0"/>
                <w:sz w:val="24"/>
                <w:szCs w:val="24"/>
              </w:rPr>
              <w:t>1/15ha</w:t>
            </w:r>
            <w:r>
              <w:rPr>
                <w:rFonts w:ascii="Times New Roman" w:hAnsiTheme="minorEastAsia" w:eastAsiaTheme="minorEastAsia"/>
                <w:color w:val="FF0000"/>
                <w:kern w:val="0"/>
                <w:sz w:val="24"/>
                <w:szCs w:val="24"/>
              </w:rPr>
              <w:t>约</w:t>
            </w:r>
            <w:r>
              <w:rPr>
                <w:rFonts w:ascii="Times New Roman" w:hAnsi="Times New Roman" w:eastAsiaTheme="minorEastAsia"/>
                <w:color w:val="FF0000"/>
                <w:kern w:val="0"/>
                <w:sz w:val="24"/>
                <w:szCs w:val="24"/>
              </w:rPr>
              <w:t>7400kg</w:t>
            </w:r>
            <w:r>
              <w:rPr>
                <w:rFonts w:ascii="Times New Roman" w:hAnsiTheme="minorEastAsia" w:eastAsiaTheme="minorEastAsia"/>
                <w:color w:val="FF0000"/>
                <w:kern w:val="0"/>
                <w:sz w:val="24"/>
                <w:szCs w:val="24"/>
              </w:rPr>
              <w:t>，年平均日照量</w:t>
            </w:r>
            <w:r>
              <w:rPr>
                <w:rFonts w:ascii="Times New Roman" w:hAnsi="Times New Roman" w:eastAsiaTheme="minorEastAsia"/>
                <w:color w:val="FF0000"/>
                <w:kern w:val="0"/>
                <w:sz w:val="24"/>
                <w:szCs w:val="24"/>
              </w:rPr>
              <w:t>2179h</w:t>
            </w:r>
            <w:r>
              <w:rPr>
                <w:rFonts w:ascii="Times New Roman" w:hAnsiTheme="minorEastAsia" w:eastAsiaTheme="minorEastAsia"/>
                <w:color w:val="FF0000"/>
                <w:kern w:val="0"/>
                <w:sz w:val="24"/>
                <w:szCs w:val="24"/>
              </w:rPr>
              <w:t>，日照率</w:t>
            </w:r>
            <w:r>
              <w:rPr>
                <w:rFonts w:ascii="Times New Roman" w:hAnsi="Times New Roman" w:eastAsiaTheme="minorEastAsia"/>
                <w:color w:val="FF0000"/>
                <w:kern w:val="0"/>
                <w:sz w:val="24"/>
                <w:szCs w:val="24"/>
              </w:rPr>
              <w:t>49%</w:t>
            </w:r>
            <w:r>
              <w:rPr>
                <w:rFonts w:ascii="Times New Roman" w:hAnsiTheme="minorEastAsia" w:eastAsiaTheme="minorEastAsia"/>
                <w:color w:val="FF0000"/>
                <w:kern w:val="0"/>
                <w:sz w:val="24"/>
                <w:szCs w:val="24"/>
              </w:rPr>
              <w:t>。</w:t>
            </w:r>
            <w:r>
              <w:rPr>
                <w:rFonts w:hint="eastAsia" w:ascii="Times New Roman" w:hAnsiTheme="minorEastAsia" w:eastAsiaTheme="minorEastAsia"/>
                <w:color w:val="FF0000"/>
                <w:kern w:val="0"/>
                <w:sz w:val="24"/>
                <w:szCs w:val="24"/>
              </w:rPr>
              <w:t>全区光照充足，多年年平均日照时数为1900～2100小时，日照百分率为44～48%，太阳辐射总量年平均120千卡/平方厘米以上，光合潜力每1亩约7400公斤。品种效益年</w:t>
            </w:r>
            <w:r>
              <w:rPr>
                <w:rFonts w:ascii="Times New Roman" w:hAnsiTheme="minorEastAsia" w:eastAsiaTheme="minorEastAsia"/>
                <w:color w:val="FF0000"/>
                <w:kern w:val="0"/>
                <w:sz w:val="24"/>
                <w:szCs w:val="24"/>
              </w:rPr>
              <w:t>。</w:t>
            </w:r>
          </w:p>
          <w:p>
            <w:pPr>
              <w:autoSpaceDE w:val="0"/>
              <w:autoSpaceDN w:val="0"/>
              <w:adjustRightInd w:val="0"/>
              <w:spacing w:line="360" w:lineRule="auto"/>
              <w:ind w:firstLine="472" w:firstLineChars="196"/>
              <w:jc w:val="left"/>
              <w:rPr>
                <w:rFonts w:ascii="Times New Roman" w:hAnsi="Times New Roman" w:eastAsiaTheme="minorEastAsia"/>
                <w:b/>
                <w:color w:val="000000" w:themeColor="text1"/>
                <w:kern w:val="0"/>
                <w:sz w:val="24"/>
                <w:szCs w:val="24"/>
              </w:rPr>
            </w:pPr>
            <w:r>
              <w:rPr>
                <w:rFonts w:ascii="Times New Roman" w:hAnsi="Times New Roman" w:eastAsiaTheme="minorEastAsia"/>
                <w:b/>
                <w:bCs/>
                <w:color w:val="000000" w:themeColor="text1"/>
                <w:kern w:val="0"/>
                <w:sz w:val="24"/>
                <w:szCs w:val="24"/>
              </w:rPr>
              <w:t>4</w:t>
            </w:r>
            <w:r>
              <w:rPr>
                <w:rFonts w:ascii="Times New Roman" w:hAnsiTheme="minorEastAsia" w:eastAsiaTheme="minorEastAsia"/>
                <w:b/>
                <w:color w:val="000000" w:themeColor="text1"/>
                <w:kern w:val="0"/>
                <w:sz w:val="24"/>
                <w:szCs w:val="24"/>
              </w:rPr>
              <w:t>、水文特征</w:t>
            </w:r>
          </w:p>
          <w:p>
            <w:pPr>
              <w:autoSpaceDE w:val="0"/>
              <w:autoSpaceDN w:val="0"/>
              <w:adjustRightInd w:val="0"/>
              <w:spacing w:line="360" w:lineRule="auto"/>
              <w:ind w:firstLine="480" w:firstLineChars="200"/>
              <w:rPr>
                <w:rFonts w:ascii="Times New Roman" w:hAnsi="Times New Roman" w:eastAsiaTheme="minorEastAsia"/>
                <w:color w:val="FF0000"/>
                <w:kern w:val="0"/>
                <w:sz w:val="24"/>
                <w:szCs w:val="24"/>
              </w:rPr>
            </w:pPr>
            <w:r>
              <w:rPr>
                <w:rFonts w:ascii="Times New Roman" w:hAnsiTheme="minorEastAsia" w:eastAsiaTheme="minorEastAsia"/>
                <w:color w:val="FF0000"/>
                <w:kern w:val="0"/>
                <w:sz w:val="24"/>
                <w:szCs w:val="24"/>
              </w:rPr>
              <w:t>红海湾开发区</w:t>
            </w:r>
            <w:r>
              <w:rPr>
                <w:rFonts w:hint="eastAsia" w:ascii="Times New Roman" w:hAnsiTheme="minorEastAsia" w:eastAsiaTheme="minorEastAsia"/>
                <w:color w:val="FF0000"/>
                <w:kern w:val="0"/>
                <w:sz w:val="24"/>
                <w:szCs w:val="24"/>
              </w:rPr>
              <w:t>有遮浪港和东洲港两个港口，白沙湖、四石柱湖两大咸水湖和遮浪南澳、施公寮两大半岛。海路东往汕头70海里，西至香港82海里。红海湾开发区海洋环境良好，海岸线较长，海产资源和矿产资源非常丰富。盛产南海种类海鲜产品，海产品品种多达14类107科173种，优质品种如马鲛、海鳗、大黄鱼、石斑鱼、龙虾、鲍鱼、海胆等多达数十种，还盛产优质海水原盐和珍珠贝、翡翠贝、文蛤、扇贝等各种特色贝壳类。海产品以其优质闻名、畅销日本、香港、东南亚各国和地 区以及省内外市场。区内已探明的矿产资源有钨、铁、硅砂、花岗岩等4类13种。其中高品位硅砂储藏面积达5平方公里，含量逾2000万吨。</w:t>
            </w:r>
          </w:p>
          <w:p>
            <w:pPr>
              <w:spacing w:line="348" w:lineRule="auto"/>
              <w:rPr>
                <w:rFonts w:ascii="Times New Roman" w:hAnsi="Times New Roman"/>
                <w:b/>
                <w:snapToGrid w:val="0"/>
                <w:color w:val="000000" w:themeColor="text1"/>
                <w:kern w:val="0"/>
                <w:sz w:val="24"/>
                <w:szCs w:val="24"/>
              </w:rPr>
            </w:pPr>
            <w:r>
              <w:rPr>
                <w:rFonts w:ascii="Times New Roman" w:hAnsi="宋体"/>
                <w:b/>
                <w:snapToGrid w:val="0"/>
                <w:color w:val="000000" w:themeColor="text1"/>
                <w:kern w:val="0"/>
                <w:sz w:val="24"/>
                <w:szCs w:val="24"/>
              </w:rPr>
              <w:t>社会环境简况：</w:t>
            </w:r>
          </w:p>
          <w:p>
            <w:pPr>
              <w:autoSpaceDE w:val="0"/>
              <w:autoSpaceDN w:val="0"/>
              <w:adjustRightInd w:val="0"/>
              <w:spacing w:line="360" w:lineRule="auto"/>
              <w:ind w:firstLine="482" w:firstLineChars="200"/>
              <w:rPr>
                <w:rFonts w:ascii="Times New Roman" w:hAnsi="Times New Roman" w:eastAsiaTheme="minorEastAsia"/>
                <w:b/>
                <w:color w:val="000000" w:themeColor="text1"/>
                <w:kern w:val="0"/>
                <w:sz w:val="24"/>
                <w:szCs w:val="24"/>
              </w:rPr>
            </w:pPr>
            <w:r>
              <w:rPr>
                <w:rFonts w:ascii="Times New Roman" w:hAnsi="Times New Roman" w:eastAsiaTheme="minorEastAsia"/>
                <w:b/>
                <w:color w:val="000000" w:themeColor="text1"/>
                <w:kern w:val="0"/>
                <w:sz w:val="24"/>
                <w:szCs w:val="24"/>
              </w:rPr>
              <w:t>1</w:t>
            </w:r>
            <w:r>
              <w:rPr>
                <w:rFonts w:ascii="Times New Roman" w:hAnsiTheme="minorEastAsia" w:eastAsiaTheme="minorEastAsia"/>
                <w:b/>
                <w:color w:val="000000" w:themeColor="text1"/>
                <w:kern w:val="0"/>
                <w:sz w:val="24"/>
                <w:szCs w:val="24"/>
              </w:rPr>
              <w:t>、行政区域及人口</w:t>
            </w:r>
          </w:p>
          <w:p>
            <w:pPr>
              <w:autoSpaceDE w:val="0"/>
              <w:autoSpaceDN w:val="0"/>
              <w:adjustRightInd w:val="0"/>
              <w:spacing w:line="360" w:lineRule="auto"/>
              <w:ind w:firstLine="480" w:firstLineChars="200"/>
              <w:rPr>
                <w:rFonts w:ascii="Times New Roman" w:hAnsi="Times New Roman" w:eastAsiaTheme="minorEastAsia"/>
                <w:color w:val="FF0000"/>
                <w:kern w:val="0"/>
                <w:sz w:val="24"/>
                <w:szCs w:val="24"/>
              </w:rPr>
            </w:pPr>
            <w:r>
              <w:rPr>
                <w:rFonts w:hint="eastAsia" w:ascii="Times New Roman" w:hAnsiTheme="minorEastAsia" w:eastAsiaTheme="minorEastAsia"/>
                <w:color w:val="FF0000"/>
                <w:kern w:val="0"/>
                <w:sz w:val="24"/>
                <w:szCs w:val="24"/>
              </w:rPr>
              <w:t>红海湾经济开发区（以下简称红海湾区）位于广东省汕尾市南部，于1992年11月经广东省人民政府批准设立，现辖田墘、遮浪、东洲三个街道和龟岭岛，共22个行政村6个居民社区，人口约11万人。</w:t>
            </w:r>
          </w:p>
          <w:p>
            <w:pPr>
              <w:autoSpaceDE w:val="0"/>
              <w:autoSpaceDN w:val="0"/>
              <w:adjustRightInd w:val="0"/>
              <w:spacing w:line="360" w:lineRule="auto"/>
              <w:ind w:firstLine="482" w:firstLineChars="200"/>
              <w:rPr>
                <w:rFonts w:ascii="Times New Roman" w:hAnsi="Times New Roman" w:eastAsiaTheme="minorEastAsia"/>
                <w:b/>
                <w:color w:val="000000" w:themeColor="text1"/>
                <w:kern w:val="0"/>
                <w:sz w:val="24"/>
                <w:szCs w:val="24"/>
              </w:rPr>
            </w:pPr>
            <w:r>
              <w:rPr>
                <w:rFonts w:ascii="Times New Roman" w:hAnsi="Times New Roman" w:eastAsiaTheme="minorEastAsia"/>
                <w:b/>
                <w:color w:val="000000" w:themeColor="text1"/>
                <w:kern w:val="0"/>
                <w:sz w:val="24"/>
                <w:szCs w:val="24"/>
              </w:rPr>
              <w:t>2</w:t>
            </w:r>
            <w:r>
              <w:rPr>
                <w:rFonts w:ascii="Times New Roman" w:hAnsiTheme="minorEastAsia" w:eastAsiaTheme="minorEastAsia"/>
                <w:b/>
                <w:color w:val="000000" w:themeColor="text1"/>
                <w:kern w:val="0"/>
                <w:sz w:val="24"/>
                <w:szCs w:val="24"/>
              </w:rPr>
              <w:t>、社会经济</w:t>
            </w:r>
          </w:p>
          <w:p>
            <w:pPr>
              <w:autoSpaceDE w:val="0"/>
              <w:autoSpaceDN w:val="0"/>
              <w:adjustRightInd w:val="0"/>
              <w:spacing w:line="360" w:lineRule="auto"/>
              <w:ind w:firstLine="480" w:firstLineChars="200"/>
              <w:rPr>
                <w:rFonts w:ascii="Times New Roman" w:hAnsi="Times New Roman" w:eastAsiaTheme="minorEastAsia"/>
                <w:color w:val="FF0000"/>
                <w:kern w:val="0"/>
                <w:sz w:val="24"/>
                <w:szCs w:val="24"/>
              </w:rPr>
            </w:pPr>
            <w:r>
              <w:rPr>
                <w:rFonts w:hint="eastAsia" w:ascii="Times New Roman" w:hAnsi="Times New Roman" w:eastAsiaTheme="minorEastAsia"/>
                <w:color w:val="FF0000"/>
                <w:kern w:val="0"/>
                <w:sz w:val="24"/>
                <w:szCs w:val="24"/>
              </w:rPr>
              <w:t>据统计，2015年全区实现地区生产总值32亿元，同比增长0.6%；固定资产投资3.23亿元，同比增长11.9%；全区社会零售品总额4.75亿元，同比增长9.9%；全区农业产值7.56亿元，同比增长3.9%；全区进出口总额1172万美元，同比增长10.6%；其中出口总额948万美元，同比增长22.9%；规模以上工业增加值17.84亿元；公共财政预算收入5806万元。旅游经济快速发展，全年接待游客160万人次，旅游总收入9亿元，分别比上年增长30.66%和38.46%。已完成或基本完成《红海湾开发区城市发展规划》等6个规划的编制。旅游园区22个项目已动工建设，累计投资1.71亿元，其中14个项目已建设完成，4Ａ级景区软硬件配套设施进一步完善，申报认定工作正在加紧推进。农村道路、供水、供电等基础设施进一步完善。</w:t>
            </w:r>
          </w:p>
          <w:p>
            <w:pPr>
              <w:autoSpaceDE w:val="0"/>
              <w:autoSpaceDN w:val="0"/>
              <w:adjustRightInd w:val="0"/>
              <w:spacing w:line="360" w:lineRule="auto"/>
              <w:ind w:firstLine="482" w:firstLineChars="200"/>
              <w:rPr>
                <w:rFonts w:ascii="Times New Roman" w:hAnsiTheme="minorEastAsia" w:eastAsiaTheme="minorEastAsia"/>
                <w:b/>
                <w:color w:val="000000" w:themeColor="text1"/>
                <w:kern w:val="0"/>
                <w:sz w:val="24"/>
                <w:szCs w:val="24"/>
              </w:rPr>
            </w:pPr>
            <w:r>
              <w:rPr>
                <w:rFonts w:ascii="Times New Roman" w:hAnsi="Times New Roman" w:eastAsiaTheme="minorEastAsia"/>
                <w:b/>
                <w:color w:val="000000" w:themeColor="text1"/>
                <w:kern w:val="0"/>
                <w:sz w:val="24"/>
                <w:szCs w:val="24"/>
              </w:rPr>
              <w:t>3</w:t>
            </w:r>
            <w:r>
              <w:rPr>
                <w:rFonts w:ascii="Times New Roman" w:hAnsiTheme="minorEastAsia" w:eastAsiaTheme="minorEastAsia"/>
                <w:b/>
                <w:color w:val="000000" w:themeColor="text1"/>
                <w:kern w:val="0"/>
                <w:sz w:val="24"/>
                <w:szCs w:val="24"/>
              </w:rPr>
              <w:t>、人民生活及社会保障</w:t>
            </w:r>
          </w:p>
          <w:p>
            <w:pPr>
              <w:autoSpaceDE w:val="0"/>
              <w:autoSpaceDN w:val="0"/>
              <w:adjustRightInd w:val="0"/>
              <w:spacing w:line="360" w:lineRule="auto"/>
              <w:ind w:firstLine="480" w:firstLineChars="200"/>
              <w:rPr>
                <w:rFonts w:ascii="Times New Roman" w:hAnsi="Times New Roman" w:eastAsiaTheme="minorEastAsia"/>
                <w:color w:val="FF0000"/>
                <w:kern w:val="0"/>
                <w:sz w:val="24"/>
                <w:szCs w:val="24"/>
              </w:rPr>
            </w:pPr>
            <w:r>
              <w:rPr>
                <w:rFonts w:hint="eastAsia" w:ascii="Times New Roman" w:hAnsi="Times New Roman" w:eastAsiaTheme="minorEastAsia"/>
                <w:color w:val="FF0000"/>
                <w:kern w:val="0"/>
                <w:sz w:val="24"/>
                <w:szCs w:val="24"/>
              </w:rPr>
              <w:t>2015年全区投入2000多万元，完成东洲街道“教育创强”工作，全区中小学、幼儿园基础设施逐步完善。新增转移农村劳动力813人，城镇新增加就业人数2105人，下岗失业人员实现再就业302人，高校毕业生就业率96%，“双困”毕业生就业率100%。社会保障政策全面落实，低保、“五保”供养基本实现应保尽保，基本养老保险覆盖率逐步扩大，全区参加养老保险4823人，发放养老金880万元。社会援助体系不断完善，加强对孤寡老残等困难群众的关心扶持力度，困难群众生活救助金按时发放，扶贫“双到”工作继续扎实推进。街道文化站已完成改扩建工程，村级文化室建设基本完成，全区公共文化服务设施免费向群众开放。</w:t>
            </w:r>
          </w:p>
          <w:p>
            <w:pPr>
              <w:autoSpaceDE w:val="0"/>
              <w:autoSpaceDN w:val="0"/>
              <w:adjustRightInd w:val="0"/>
              <w:spacing w:line="360" w:lineRule="auto"/>
              <w:ind w:firstLine="482" w:firstLineChars="200"/>
              <w:rPr>
                <w:rFonts w:ascii="Times New Roman" w:hAnsi="Times New Roman" w:eastAsiaTheme="minorEastAsia"/>
                <w:b/>
                <w:color w:val="000000" w:themeColor="text1"/>
                <w:kern w:val="0"/>
                <w:sz w:val="24"/>
                <w:szCs w:val="24"/>
              </w:rPr>
            </w:pPr>
            <w:r>
              <w:rPr>
                <w:rFonts w:ascii="Times New Roman" w:hAnsi="Times New Roman" w:eastAsiaTheme="minorEastAsia"/>
                <w:b/>
                <w:color w:val="000000" w:themeColor="text1"/>
                <w:kern w:val="0"/>
                <w:sz w:val="24"/>
                <w:szCs w:val="24"/>
              </w:rPr>
              <w:t>4</w:t>
            </w:r>
            <w:r>
              <w:rPr>
                <w:rFonts w:ascii="Times New Roman" w:hAnsiTheme="minorEastAsia" w:eastAsiaTheme="minorEastAsia"/>
                <w:b/>
                <w:color w:val="000000" w:themeColor="text1"/>
                <w:kern w:val="0"/>
                <w:sz w:val="24"/>
                <w:szCs w:val="24"/>
              </w:rPr>
              <w:t>、文物古迹</w:t>
            </w:r>
          </w:p>
          <w:p>
            <w:pPr>
              <w:autoSpaceDE w:val="0"/>
              <w:autoSpaceDN w:val="0"/>
              <w:adjustRightInd w:val="0"/>
              <w:spacing w:line="360" w:lineRule="auto"/>
              <w:ind w:firstLine="360" w:firstLineChars="150"/>
              <w:rPr>
                <w:rFonts w:ascii="Times New Roman" w:hAnsi="Times New Roman" w:eastAsiaTheme="minorEastAsia"/>
                <w:color w:val="000000" w:themeColor="text1"/>
                <w:kern w:val="0"/>
                <w:sz w:val="20"/>
              </w:rPr>
            </w:pPr>
            <w:r>
              <w:rPr>
                <w:rFonts w:hint="eastAsia" w:ascii="Times New Roman" w:hAnsiTheme="minorEastAsia" w:eastAsiaTheme="minorEastAsia"/>
                <w:color w:val="000000" w:themeColor="text1"/>
                <w:kern w:val="0"/>
                <w:sz w:val="24"/>
                <w:szCs w:val="24"/>
              </w:rPr>
              <w:t>项目</w:t>
            </w:r>
            <w:r>
              <w:rPr>
                <w:rFonts w:ascii="Times New Roman" w:hAnsiTheme="minorEastAsia" w:eastAsiaTheme="minorEastAsia"/>
                <w:color w:val="000000" w:themeColor="text1"/>
                <w:kern w:val="0"/>
                <w:sz w:val="24"/>
                <w:szCs w:val="24"/>
              </w:rPr>
              <w:t>周围</w:t>
            </w:r>
            <w:r>
              <w:rPr>
                <w:rFonts w:hint="eastAsia" w:ascii="Times New Roman" w:hAnsiTheme="minorEastAsia" w:eastAsiaTheme="minorEastAsia"/>
                <w:color w:val="000000" w:themeColor="text1"/>
                <w:kern w:val="0"/>
                <w:sz w:val="24"/>
                <w:szCs w:val="24"/>
              </w:rPr>
              <w:t>200米</w:t>
            </w:r>
            <w:r>
              <w:rPr>
                <w:rFonts w:ascii="Times New Roman" w:hAnsiTheme="minorEastAsia" w:eastAsiaTheme="minorEastAsia"/>
                <w:color w:val="000000" w:themeColor="text1"/>
                <w:kern w:val="0"/>
                <w:sz w:val="24"/>
                <w:szCs w:val="24"/>
              </w:rPr>
              <w:t>范围内未发现文物。</w:t>
            </w: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p>
            <w:pPr>
              <w:spacing w:line="420" w:lineRule="auto"/>
              <w:rPr>
                <w:rFonts w:ascii="Times New Roman" w:hAnsi="Times New Roman"/>
                <w:color w:val="FF0000"/>
                <w:sz w:val="24"/>
                <w:szCs w:val="24"/>
                <w:highlight w:val="yellow"/>
              </w:rPr>
            </w:pPr>
          </w:p>
        </w:tc>
      </w:tr>
    </w:tbl>
    <w:p>
      <w:pPr>
        <w:pStyle w:val="2"/>
        <w:jc w:val="both"/>
        <w:rPr>
          <w:rFonts w:ascii="Times New Roman" w:hAnsi="Times New Roman"/>
          <w:b/>
          <w:color w:val="000000" w:themeColor="text1"/>
          <w:sz w:val="28"/>
        </w:rPr>
      </w:pPr>
      <w:bookmarkStart w:id="5" w:name="_Toc240863952"/>
      <w:bookmarkStart w:id="6" w:name="_Toc236472097"/>
      <w:r>
        <w:rPr>
          <w:rFonts w:ascii="Times New Roman" w:hAnsi="宋体"/>
          <w:b/>
          <w:color w:val="000000" w:themeColor="text1"/>
          <w:sz w:val="28"/>
        </w:rPr>
        <w:t>环境质量状况</w:t>
      </w:r>
      <w:bookmarkEnd w:id="5"/>
      <w:bookmarkEnd w:id="6"/>
    </w:p>
    <w:tbl>
      <w:tblPr>
        <w:tblStyle w:val="27"/>
        <w:tblW w:w="8719"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71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PrEx>
        <w:trPr>
          <w:trHeight w:val="930" w:hRule="atLeast"/>
          <w:jc w:val="center"/>
        </w:trPr>
        <w:tc>
          <w:tcPr>
            <w:tcW w:w="8719" w:type="dxa"/>
            <w:tcBorders>
              <w:bottom w:val="single" w:color="auto" w:sz="4" w:space="0"/>
            </w:tcBorders>
            <w:vAlign w:val="center"/>
          </w:tcPr>
          <w:p>
            <w:pPr>
              <w:pStyle w:val="8"/>
              <w:adjustRightInd w:val="0"/>
              <w:snapToGrid w:val="0"/>
              <w:spacing w:line="360" w:lineRule="auto"/>
              <w:jc w:val="both"/>
              <w:rPr>
                <w:rFonts w:hAnsi="宋体" w:eastAsia="宋体"/>
                <w:b/>
                <w:snapToGrid w:val="0"/>
                <w:color w:val="000000" w:themeColor="text1"/>
                <w:kern w:val="0"/>
              </w:rPr>
            </w:pPr>
            <w:r>
              <w:rPr>
                <w:rFonts w:hAnsi="宋体" w:eastAsia="宋体"/>
                <w:b/>
                <w:snapToGrid w:val="0"/>
                <w:color w:val="000000" w:themeColor="text1"/>
                <w:kern w:val="0"/>
              </w:rPr>
              <w:t>建设项目所在地区域环境质量现状及主要环境问题（环境空气、地面水、地下水、声环境、生态环境等）：</w:t>
            </w:r>
          </w:p>
          <w:p>
            <w:pPr>
              <w:autoSpaceDE w:val="0"/>
              <w:autoSpaceDN w:val="0"/>
              <w:adjustRightInd w:val="0"/>
              <w:spacing w:line="360" w:lineRule="auto"/>
              <w:ind w:firstLine="482" w:firstLineChars="200"/>
              <w:rPr>
                <w:rFonts w:ascii="Times New Roman" w:hAnsi="Times New Roman"/>
                <w:b/>
                <w:color w:val="000000" w:themeColor="text1"/>
                <w:kern w:val="0"/>
                <w:sz w:val="24"/>
                <w:szCs w:val="24"/>
              </w:rPr>
            </w:pPr>
            <w:r>
              <w:rPr>
                <w:rFonts w:ascii="Times New Roman" w:hAnsi="Times New Roman"/>
                <w:b/>
                <w:color w:val="000000" w:themeColor="text1"/>
                <w:kern w:val="0"/>
                <w:sz w:val="24"/>
                <w:szCs w:val="24"/>
              </w:rPr>
              <w:t>1、环境空气质量现状</w:t>
            </w:r>
          </w:p>
          <w:p>
            <w:pPr>
              <w:autoSpaceDE w:val="0"/>
              <w:autoSpaceDN w:val="0"/>
              <w:adjustRightInd w:val="0"/>
              <w:spacing w:line="360" w:lineRule="auto"/>
              <w:ind w:firstLine="480" w:firstLineChars="200"/>
              <w:rPr>
                <w:rFonts w:ascii="Times New Roman" w:hAnsi="Times New Roman"/>
                <w:color w:val="000000" w:themeColor="text1"/>
                <w:kern w:val="0"/>
                <w:sz w:val="24"/>
                <w:szCs w:val="24"/>
              </w:rPr>
            </w:pPr>
            <w:r>
              <w:rPr>
                <w:rFonts w:ascii="Times New Roman" w:hAnsi="Times New Roman"/>
                <w:color w:val="000000" w:themeColor="text1"/>
                <w:kern w:val="0"/>
                <w:sz w:val="24"/>
                <w:szCs w:val="24"/>
              </w:rPr>
              <w:t>项目附近所在区域属于环境空气二类功能区，执行《环境空气质量标准》（GB3095-2012）。根据广东省环境保护厅公众网中《2015年广东省环境状况公报》资料表明：各城市SO</w:t>
            </w:r>
            <w:r>
              <w:rPr>
                <w:rFonts w:ascii="Times New Roman" w:hAnsi="Times New Roman"/>
                <w:color w:val="000000" w:themeColor="text1"/>
                <w:kern w:val="0"/>
                <w:sz w:val="24"/>
                <w:szCs w:val="24"/>
                <w:vertAlign w:val="subscript"/>
              </w:rPr>
              <w:t>2</w:t>
            </w:r>
            <w:r>
              <w:rPr>
                <w:rFonts w:ascii="Times New Roman" w:hAnsi="Times New Roman"/>
                <w:color w:val="000000" w:themeColor="text1"/>
                <w:kern w:val="0"/>
                <w:sz w:val="24"/>
                <w:szCs w:val="24"/>
              </w:rPr>
              <w:t>年均值范围为7~20微克/立方米，均达到国家一级标准；各城市NO</w:t>
            </w:r>
            <w:r>
              <w:rPr>
                <w:rFonts w:ascii="Times New Roman" w:hAnsi="Times New Roman"/>
                <w:color w:val="000000" w:themeColor="text1"/>
                <w:kern w:val="0"/>
                <w:sz w:val="24"/>
                <w:szCs w:val="24"/>
                <w:vertAlign w:val="subscript"/>
              </w:rPr>
              <w:t>2</w:t>
            </w:r>
            <w:r>
              <w:rPr>
                <w:rFonts w:ascii="Times New Roman" w:hAnsi="Times New Roman"/>
                <w:color w:val="000000" w:themeColor="text1"/>
                <w:kern w:val="0"/>
                <w:sz w:val="24"/>
                <w:szCs w:val="24"/>
              </w:rPr>
              <w:t>年均值范围为13~47微克/立方米，除广州、佛山两市外、其余各城市均达到国家一级标准；各城市PM</w:t>
            </w:r>
            <w:r>
              <w:rPr>
                <w:rFonts w:ascii="Times New Roman" w:hAnsi="Times New Roman"/>
                <w:color w:val="000000" w:themeColor="text1"/>
                <w:kern w:val="0"/>
                <w:sz w:val="24"/>
                <w:szCs w:val="24"/>
                <w:vertAlign w:val="subscript"/>
              </w:rPr>
              <w:t>10</w:t>
            </w:r>
            <w:r>
              <w:rPr>
                <w:rFonts w:ascii="Times New Roman" w:hAnsi="Times New Roman"/>
                <w:color w:val="000000" w:themeColor="text1"/>
                <w:kern w:val="0"/>
                <w:sz w:val="24"/>
                <w:szCs w:val="24"/>
              </w:rPr>
              <w:t>年均值范围为41~59微克/立方米，均达到国家二级标准；各城市PM</w:t>
            </w:r>
            <w:r>
              <w:rPr>
                <w:rFonts w:ascii="Times New Roman" w:hAnsi="Times New Roman"/>
                <w:color w:val="000000" w:themeColor="text1"/>
                <w:kern w:val="0"/>
                <w:sz w:val="24"/>
                <w:szCs w:val="24"/>
                <w:vertAlign w:val="subscript"/>
              </w:rPr>
              <w:t>2.5</w:t>
            </w:r>
            <w:r>
              <w:rPr>
                <w:rFonts w:ascii="Times New Roman" w:hAnsi="Times New Roman"/>
                <w:color w:val="000000" w:themeColor="text1"/>
                <w:kern w:val="0"/>
                <w:sz w:val="24"/>
                <w:szCs w:val="24"/>
              </w:rPr>
              <w:t>年均值范围为27~40微克/立方米，除广州、佛山、肇庆、东莞、潮州、揭阳和顺德外，其余15个城市均达到国家二级标准；各城市CO第95百分位数范围为1.1~1.8 微克/立方米，均达到国家一级标准。由此说明项目所在地汕尾市的环境空气质量现状良好。</w:t>
            </w:r>
          </w:p>
          <w:p>
            <w:pPr>
              <w:autoSpaceDE w:val="0"/>
              <w:autoSpaceDN w:val="0"/>
              <w:adjustRightInd w:val="0"/>
              <w:spacing w:line="360" w:lineRule="auto"/>
              <w:ind w:firstLine="482" w:firstLineChars="200"/>
              <w:jc w:val="left"/>
              <w:rPr>
                <w:rFonts w:ascii="Times New Roman" w:hAnsi="Times New Roman"/>
                <w:b/>
                <w:color w:val="000000" w:themeColor="text1"/>
                <w:kern w:val="0"/>
                <w:sz w:val="24"/>
                <w:szCs w:val="24"/>
              </w:rPr>
            </w:pPr>
            <w:r>
              <w:rPr>
                <w:rFonts w:hint="eastAsia" w:ascii="Times New Roman" w:hAnsi="Times New Roman"/>
                <w:b/>
                <w:color w:val="000000" w:themeColor="text1"/>
                <w:kern w:val="0"/>
                <w:sz w:val="24"/>
                <w:szCs w:val="24"/>
              </w:rPr>
              <w:t>2、水环境质量现状</w:t>
            </w:r>
          </w:p>
          <w:p>
            <w:pPr>
              <w:autoSpaceDE w:val="0"/>
              <w:autoSpaceDN w:val="0"/>
              <w:adjustRightInd w:val="0"/>
              <w:spacing w:line="360" w:lineRule="auto"/>
              <w:ind w:firstLine="480" w:firstLineChars="200"/>
              <w:jc w:val="left"/>
              <w:rPr>
                <w:rFonts w:ascii="Times New Roman" w:hAnsi="Times New Roman"/>
                <w:color w:val="000000" w:themeColor="text1"/>
                <w:kern w:val="0"/>
                <w:sz w:val="24"/>
                <w:szCs w:val="24"/>
              </w:rPr>
            </w:pPr>
            <w:r>
              <w:rPr>
                <w:rFonts w:hint="eastAsia" w:ascii="Times New Roman" w:hAnsi="Times New Roman"/>
                <w:color w:val="000000" w:themeColor="text1"/>
                <w:kern w:val="0"/>
                <w:sz w:val="24"/>
                <w:szCs w:val="24"/>
              </w:rPr>
              <w:t>根据《关于调整汕尾市部分近岸海域环境功能区划的复函》（粤办函[2010]398 号），项目附近水体为品清湖盐业、旅游、鱼港功能区第二类功能区，执行《海洋水质标准》（GB3097-1997）中第二类海水水质标准。</w:t>
            </w:r>
          </w:p>
          <w:p>
            <w:pPr>
              <w:autoSpaceDE w:val="0"/>
              <w:autoSpaceDN w:val="0"/>
              <w:adjustRightInd w:val="0"/>
              <w:spacing w:line="360" w:lineRule="auto"/>
              <w:ind w:firstLine="480" w:firstLineChars="200"/>
              <w:rPr>
                <w:rFonts w:ascii="Times New Roman" w:hAnsi="Times New Roman"/>
                <w:color w:val="000000" w:themeColor="text1"/>
                <w:kern w:val="0"/>
                <w:sz w:val="24"/>
                <w:szCs w:val="24"/>
              </w:rPr>
            </w:pPr>
            <w:r>
              <w:rPr>
                <w:rFonts w:hint="eastAsia" w:ascii="Times New Roman" w:hAnsi="Times New Roman"/>
                <w:color w:val="000000" w:themeColor="text1"/>
                <w:kern w:val="0"/>
                <w:sz w:val="24"/>
                <w:szCs w:val="24"/>
              </w:rPr>
              <w:t>根据广东省环境保护厅公众网中《2015年广东省环境状况公报》资料表明：全省近岸海域功能区水质监测点位67个，按照《海水水质标准》（GB3097-1997）评价，水质达标率为94.0%，13个沿海城市中，除深圳为72.7%、东莞为0外，其余11个城市近岸海域水环境功能区均全部达标。由此说明项目所在地汕尾市品清湖海域近岸海域水质现状满足《海水水质标准》（GB3097-1997）二类标准。</w:t>
            </w:r>
          </w:p>
          <w:p>
            <w:pPr>
              <w:snapToGrid w:val="0"/>
              <w:spacing w:line="360" w:lineRule="auto"/>
              <w:ind w:firstLine="482" w:firstLineChars="200"/>
              <w:rPr>
                <w:rFonts w:ascii="Times New Roman" w:hAnsi="Times New Roman"/>
                <w:b/>
                <w:color w:val="000000" w:themeColor="text1"/>
                <w:sz w:val="24"/>
                <w:szCs w:val="24"/>
              </w:rPr>
            </w:pPr>
            <w:r>
              <w:rPr>
                <w:rFonts w:ascii="Times New Roman" w:hAnsi="Times New Roman"/>
                <w:b/>
                <w:color w:val="000000" w:themeColor="text1"/>
                <w:sz w:val="24"/>
                <w:szCs w:val="24"/>
              </w:rPr>
              <w:t>3</w:t>
            </w:r>
            <w:r>
              <w:rPr>
                <w:rFonts w:ascii="Times New Roman" w:hAnsi="宋体"/>
                <w:b/>
                <w:color w:val="000000" w:themeColor="text1"/>
                <w:sz w:val="24"/>
                <w:szCs w:val="24"/>
              </w:rPr>
              <w:t>、声环境质量现状</w:t>
            </w:r>
          </w:p>
          <w:p>
            <w:pPr>
              <w:snapToGrid w:val="0"/>
              <w:spacing w:line="360" w:lineRule="auto"/>
              <w:ind w:firstLine="480" w:firstLineChars="200"/>
              <w:rPr>
                <w:rFonts w:ascii="Times New Roman" w:hAnsi="宋体"/>
                <w:color w:val="000000" w:themeColor="text1"/>
                <w:sz w:val="24"/>
                <w:szCs w:val="24"/>
              </w:rPr>
            </w:pPr>
            <w:r>
              <w:rPr>
                <w:rFonts w:ascii="Times New Roman" w:hAnsi="Times New Roman"/>
                <w:color w:val="000000" w:themeColor="text1"/>
                <w:kern w:val="0"/>
                <w:sz w:val="24"/>
                <w:szCs w:val="24"/>
              </w:rPr>
              <w:t>根据</w:t>
            </w:r>
            <w:r>
              <w:rPr>
                <w:rFonts w:hint="eastAsia" w:ascii="Times New Roman" w:hAnsi="宋体"/>
                <w:color w:val="000000" w:themeColor="text1"/>
                <w:sz w:val="24"/>
                <w:szCs w:val="24"/>
              </w:rPr>
              <w:t>《声环境质量标准》（GB3096-2008）中声环境功能区的划分，建设项目的边界环境噪声应执行《声环境质量标准》（GB3096-2008）2类环境噪声限值。</w:t>
            </w:r>
          </w:p>
          <w:p>
            <w:pPr>
              <w:snapToGrid w:val="0"/>
              <w:spacing w:line="360" w:lineRule="auto"/>
              <w:ind w:firstLine="480" w:firstLineChars="200"/>
              <w:rPr>
                <w:rFonts w:hint="eastAsia" w:ascii="Times New Roman" w:hAnsi="宋体"/>
                <w:color w:val="000000" w:themeColor="text1"/>
                <w:sz w:val="24"/>
                <w:szCs w:val="24"/>
              </w:rPr>
            </w:pPr>
            <w:r>
              <w:rPr>
                <w:rFonts w:ascii="Times New Roman" w:hAnsi="宋体"/>
                <w:color w:val="000000" w:themeColor="text1"/>
                <w:sz w:val="24"/>
                <w:szCs w:val="24"/>
              </w:rPr>
              <w:t>根据现场调查，</w:t>
            </w:r>
            <w:r>
              <w:rPr>
                <w:rFonts w:ascii="Times New Roman" w:hAnsi="宋体"/>
                <w:color w:val="000000" w:themeColor="text1"/>
                <w:sz w:val="24"/>
              </w:rPr>
              <w:t>项目尚未开工建设，</w:t>
            </w:r>
            <w:r>
              <w:rPr>
                <w:rFonts w:ascii="Times New Roman" w:hAnsi="宋体"/>
                <w:color w:val="000000" w:themeColor="text1"/>
                <w:sz w:val="24"/>
                <w:szCs w:val="24"/>
              </w:rPr>
              <w:t>为了了解项目所在地边界声环境质量现状，环评人员于</w:t>
            </w:r>
            <w:r>
              <w:rPr>
                <w:rFonts w:ascii="Times New Roman" w:hAnsi="Times New Roman"/>
                <w:color w:val="000000" w:themeColor="text1"/>
                <w:sz w:val="24"/>
                <w:szCs w:val="24"/>
              </w:rPr>
              <w:t>20</w:t>
            </w:r>
            <w:r>
              <w:rPr>
                <w:rFonts w:hint="eastAsia" w:ascii="Times New Roman" w:hAnsi="Times New Roman"/>
                <w:color w:val="000000" w:themeColor="text1"/>
                <w:sz w:val="24"/>
                <w:szCs w:val="24"/>
              </w:rPr>
              <w:t>17</w:t>
            </w:r>
            <w:r>
              <w:rPr>
                <w:rFonts w:ascii="Times New Roman" w:hAnsi="宋体"/>
                <w:color w:val="000000" w:themeColor="text1"/>
                <w:sz w:val="24"/>
                <w:szCs w:val="24"/>
              </w:rPr>
              <w:t>年</w:t>
            </w:r>
            <w:r>
              <w:rPr>
                <w:rFonts w:hint="eastAsia" w:ascii="Times New Roman" w:hAnsi="Times New Roman"/>
                <w:color w:val="000000" w:themeColor="text1"/>
                <w:sz w:val="24"/>
                <w:szCs w:val="24"/>
              </w:rPr>
              <w:t>7</w:t>
            </w:r>
            <w:r>
              <w:rPr>
                <w:rFonts w:ascii="Times New Roman" w:hAnsi="宋体"/>
                <w:color w:val="000000" w:themeColor="text1"/>
                <w:sz w:val="24"/>
                <w:szCs w:val="24"/>
              </w:rPr>
              <w:t>月</w:t>
            </w:r>
            <w:r>
              <w:rPr>
                <w:rFonts w:hint="eastAsia" w:ascii="Times New Roman" w:hAnsi="Times New Roman"/>
                <w:color w:val="000000" w:themeColor="text1"/>
                <w:sz w:val="24"/>
                <w:szCs w:val="24"/>
              </w:rPr>
              <w:t>10</w:t>
            </w:r>
            <w:r>
              <w:rPr>
                <w:rFonts w:ascii="Times New Roman" w:hAnsi="宋体"/>
                <w:color w:val="000000" w:themeColor="text1"/>
                <w:sz w:val="24"/>
                <w:szCs w:val="24"/>
              </w:rPr>
              <w:t>日</w:t>
            </w:r>
            <w:r>
              <w:rPr>
                <w:rFonts w:hint="eastAsia" w:ascii="Times New Roman" w:hAnsi="宋体"/>
                <w:color w:val="000000" w:themeColor="text1"/>
                <w:sz w:val="24"/>
                <w:szCs w:val="24"/>
              </w:rPr>
              <w:t>16时、24时</w:t>
            </w:r>
            <w:r>
              <w:rPr>
                <w:rFonts w:ascii="Times New Roman" w:hAnsi="宋体"/>
                <w:color w:val="000000" w:themeColor="text1"/>
                <w:sz w:val="24"/>
                <w:szCs w:val="24"/>
              </w:rPr>
              <w:t>在项目边界外</w:t>
            </w:r>
            <w:r>
              <w:rPr>
                <w:rFonts w:ascii="Times New Roman" w:hAnsi="Times New Roman"/>
                <w:color w:val="000000" w:themeColor="text1"/>
                <w:sz w:val="24"/>
                <w:szCs w:val="24"/>
              </w:rPr>
              <w:t>1</w:t>
            </w:r>
            <w:r>
              <w:rPr>
                <w:rFonts w:ascii="Times New Roman" w:hAnsi="宋体"/>
                <w:color w:val="000000" w:themeColor="text1"/>
                <w:sz w:val="24"/>
                <w:szCs w:val="24"/>
              </w:rPr>
              <w:t>米处各设一个监测点进行监测。监测结果统计见下表</w:t>
            </w:r>
            <w:r>
              <w:rPr>
                <w:rFonts w:hint="eastAsia" w:ascii="Times New Roman" w:hAnsi="Times New Roman"/>
                <w:color w:val="000000" w:themeColor="text1"/>
                <w:sz w:val="24"/>
                <w:szCs w:val="24"/>
              </w:rPr>
              <w:t>5</w:t>
            </w:r>
            <w:r>
              <w:rPr>
                <w:rFonts w:ascii="Times New Roman" w:hAnsi="宋体"/>
                <w:color w:val="000000" w:themeColor="text1"/>
                <w:sz w:val="24"/>
                <w:szCs w:val="24"/>
              </w:rPr>
              <w:t>。</w:t>
            </w:r>
          </w:p>
          <w:p>
            <w:pPr>
              <w:snapToGrid w:val="0"/>
              <w:spacing w:line="360" w:lineRule="auto"/>
              <w:ind w:firstLine="480" w:firstLineChars="200"/>
              <w:rPr>
                <w:rFonts w:ascii="Times New Roman" w:hAnsi="宋体"/>
                <w:color w:val="000000" w:themeColor="text1"/>
                <w:sz w:val="24"/>
                <w:szCs w:val="24"/>
              </w:rPr>
            </w:pPr>
          </w:p>
          <w:p>
            <w:pPr>
              <w:pStyle w:val="12"/>
              <w:snapToGrid w:val="0"/>
              <w:spacing w:line="360" w:lineRule="auto"/>
              <w:jc w:val="center"/>
              <w:rPr>
                <w:rFonts w:ascii="Times New Roman" w:hAnsi="Times New Roman" w:eastAsia="宋体"/>
                <w:b/>
                <w:bCs/>
                <w:color w:val="000000" w:themeColor="text1"/>
                <w:sz w:val="24"/>
                <w:szCs w:val="24"/>
              </w:rPr>
            </w:pPr>
            <w:r>
              <w:rPr>
                <w:rFonts w:ascii="Times New Roman" w:hAnsi="宋体" w:eastAsia="宋体"/>
                <w:b/>
                <w:bCs/>
                <w:color w:val="000000" w:themeColor="text1"/>
                <w:sz w:val="24"/>
                <w:szCs w:val="24"/>
              </w:rPr>
              <w:t>表</w:t>
            </w:r>
            <w:r>
              <w:rPr>
                <w:rFonts w:hint="eastAsia" w:ascii="Times New Roman" w:hAnsi="Times New Roman" w:eastAsia="宋体"/>
                <w:b/>
                <w:bCs/>
                <w:color w:val="000000" w:themeColor="text1"/>
                <w:sz w:val="24"/>
                <w:szCs w:val="24"/>
              </w:rPr>
              <w:t>5</w:t>
            </w:r>
            <w:r>
              <w:rPr>
                <w:rFonts w:ascii="Times New Roman" w:hAnsi="Times New Roman" w:eastAsia="宋体"/>
                <w:b/>
                <w:bCs/>
                <w:color w:val="000000" w:themeColor="text1"/>
                <w:sz w:val="24"/>
                <w:szCs w:val="24"/>
              </w:rPr>
              <w:t xml:space="preserve">  </w:t>
            </w:r>
            <w:r>
              <w:rPr>
                <w:rFonts w:ascii="Times New Roman" w:hAnsi="宋体" w:eastAsia="宋体"/>
                <w:b/>
                <w:bCs/>
                <w:color w:val="000000" w:themeColor="text1"/>
                <w:sz w:val="24"/>
                <w:szCs w:val="24"/>
              </w:rPr>
              <w:t>环境噪声现状监测结果统计表</w:t>
            </w:r>
          </w:p>
          <w:tbl>
            <w:tblPr>
              <w:tblStyle w:val="27"/>
              <w:tblW w:w="8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9"/>
              <w:gridCol w:w="1072"/>
              <w:gridCol w:w="1185"/>
              <w:gridCol w:w="3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jc w:val="center"/>
              </w:trPr>
              <w:tc>
                <w:tcPr>
                  <w:tcW w:w="2949" w:type="dxa"/>
                  <w:vMerge w:val="restart"/>
                  <w:tcBorders>
                    <w:top w:val="single" w:color="auto" w:sz="8" w:space="0"/>
                    <w:left w:val="single" w:color="auto" w:sz="8" w:space="0"/>
                  </w:tcBorders>
                  <w:vAlign w:val="center"/>
                </w:tcPr>
                <w:p>
                  <w:pPr>
                    <w:pStyle w:val="12"/>
                    <w:snapToGrid w:val="0"/>
                    <w:ind w:firstLine="80"/>
                    <w:jc w:val="center"/>
                    <w:rPr>
                      <w:rFonts w:ascii="Times New Roman" w:hAnsi="Times New Roman" w:eastAsia="宋体"/>
                      <w:b/>
                      <w:bCs/>
                      <w:color w:val="000000" w:themeColor="text1"/>
                      <w:szCs w:val="21"/>
                    </w:rPr>
                  </w:pPr>
                  <w:r>
                    <w:rPr>
                      <w:rFonts w:ascii="Times New Roman" w:hAnsi="宋体" w:eastAsia="宋体"/>
                      <w:b/>
                      <w:bCs/>
                      <w:color w:val="000000" w:themeColor="text1"/>
                      <w:szCs w:val="21"/>
                    </w:rPr>
                    <w:t>测点位置</w:t>
                  </w:r>
                </w:p>
              </w:tc>
              <w:tc>
                <w:tcPr>
                  <w:tcW w:w="1072" w:type="dxa"/>
                  <w:tcBorders>
                    <w:top w:val="single" w:color="auto" w:sz="8" w:space="0"/>
                    <w:bottom w:val="single" w:color="auto" w:sz="4" w:space="0"/>
                  </w:tcBorders>
                  <w:vAlign w:val="center"/>
                </w:tcPr>
                <w:p>
                  <w:pPr>
                    <w:pStyle w:val="12"/>
                    <w:snapToGrid w:val="0"/>
                    <w:ind w:hanging="7"/>
                    <w:jc w:val="center"/>
                    <w:rPr>
                      <w:rFonts w:ascii="Times New Roman" w:hAnsi="Times New Roman" w:eastAsia="宋体"/>
                      <w:b/>
                      <w:bCs/>
                      <w:color w:val="000000" w:themeColor="text1"/>
                      <w:szCs w:val="21"/>
                    </w:rPr>
                  </w:pPr>
                  <w:r>
                    <w:rPr>
                      <w:rFonts w:ascii="Times New Roman" w:hAnsi="宋体" w:eastAsia="宋体"/>
                      <w:b/>
                      <w:bCs/>
                      <w:color w:val="000000" w:themeColor="text1"/>
                      <w:szCs w:val="21"/>
                    </w:rPr>
                    <w:t>昼间</w:t>
                  </w:r>
                </w:p>
              </w:tc>
              <w:tc>
                <w:tcPr>
                  <w:tcW w:w="1185" w:type="dxa"/>
                  <w:tcBorders>
                    <w:top w:val="single" w:color="auto" w:sz="8" w:space="0"/>
                    <w:bottom w:val="single" w:color="auto" w:sz="4" w:space="0"/>
                  </w:tcBorders>
                  <w:vAlign w:val="center"/>
                </w:tcPr>
                <w:p>
                  <w:pPr>
                    <w:pStyle w:val="12"/>
                    <w:snapToGrid w:val="0"/>
                    <w:ind w:hanging="7"/>
                    <w:jc w:val="center"/>
                    <w:rPr>
                      <w:rFonts w:ascii="Times New Roman" w:hAnsi="Times New Roman" w:eastAsia="宋体"/>
                      <w:b/>
                      <w:bCs/>
                      <w:color w:val="000000" w:themeColor="text1"/>
                      <w:szCs w:val="21"/>
                    </w:rPr>
                  </w:pPr>
                  <w:r>
                    <w:rPr>
                      <w:rFonts w:ascii="Times New Roman" w:hAnsi="宋体" w:eastAsia="宋体"/>
                      <w:b/>
                      <w:bCs/>
                      <w:color w:val="000000" w:themeColor="text1"/>
                      <w:szCs w:val="21"/>
                    </w:rPr>
                    <w:t>昼间</w:t>
                  </w:r>
                </w:p>
              </w:tc>
              <w:tc>
                <w:tcPr>
                  <w:tcW w:w="3098" w:type="dxa"/>
                  <w:vMerge w:val="restart"/>
                  <w:tcBorders>
                    <w:top w:val="single" w:color="auto" w:sz="8" w:space="0"/>
                    <w:right w:val="single" w:color="auto" w:sz="8" w:space="0"/>
                  </w:tcBorders>
                  <w:vAlign w:val="center"/>
                </w:tcPr>
                <w:p>
                  <w:pPr>
                    <w:pStyle w:val="12"/>
                    <w:snapToGrid w:val="0"/>
                    <w:spacing w:line="240" w:lineRule="atLeast"/>
                    <w:jc w:val="center"/>
                    <w:rPr>
                      <w:rFonts w:ascii="Times New Roman" w:hAnsi="Times New Roman" w:eastAsia="宋体"/>
                      <w:b/>
                      <w:bCs/>
                      <w:color w:val="000000" w:themeColor="text1"/>
                      <w:szCs w:val="21"/>
                    </w:rPr>
                  </w:pPr>
                  <w:r>
                    <w:rPr>
                      <w:rFonts w:ascii="Times New Roman" w:hAnsi="宋体" w:eastAsia="宋体"/>
                      <w:b/>
                      <w:bCs/>
                      <w:color w:val="000000" w:themeColor="text1"/>
                      <w:szCs w:val="21"/>
                    </w:rPr>
                    <w:t>备</w:t>
                  </w:r>
                  <w:r>
                    <w:rPr>
                      <w:rFonts w:ascii="Times New Roman" w:hAnsi="Times New Roman" w:eastAsia="宋体"/>
                      <w:b/>
                      <w:bCs/>
                      <w:color w:val="000000" w:themeColor="text1"/>
                      <w:szCs w:val="21"/>
                    </w:rPr>
                    <w:t xml:space="preserve">  </w:t>
                  </w:r>
                  <w:r>
                    <w:rPr>
                      <w:rFonts w:ascii="Times New Roman" w:hAnsi="宋体" w:eastAsia="宋体"/>
                      <w:b/>
                      <w:bCs/>
                      <w:color w:val="000000" w:themeColor="text1"/>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6" w:hRule="atLeast"/>
                <w:jc w:val="center"/>
              </w:trPr>
              <w:tc>
                <w:tcPr>
                  <w:tcW w:w="2949" w:type="dxa"/>
                  <w:vMerge w:val="continue"/>
                  <w:tcBorders>
                    <w:left w:val="single" w:color="auto" w:sz="8" w:space="0"/>
                    <w:bottom w:val="single" w:color="auto" w:sz="4" w:space="0"/>
                  </w:tcBorders>
                  <w:vAlign w:val="center"/>
                </w:tcPr>
                <w:p>
                  <w:pPr>
                    <w:pStyle w:val="12"/>
                    <w:snapToGrid w:val="0"/>
                    <w:ind w:firstLine="80"/>
                    <w:jc w:val="center"/>
                    <w:rPr>
                      <w:rFonts w:ascii="Times New Roman" w:hAnsi="宋体" w:eastAsia="宋体"/>
                      <w:b/>
                      <w:bCs/>
                      <w:color w:val="000000" w:themeColor="text1"/>
                      <w:szCs w:val="21"/>
                    </w:rPr>
                  </w:pPr>
                </w:p>
              </w:tc>
              <w:tc>
                <w:tcPr>
                  <w:tcW w:w="2257" w:type="dxa"/>
                  <w:gridSpan w:val="2"/>
                  <w:tcBorders>
                    <w:top w:val="single" w:color="auto" w:sz="4" w:space="0"/>
                    <w:bottom w:val="single" w:color="auto" w:sz="4" w:space="0"/>
                  </w:tcBorders>
                  <w:vAlign w:val="center"/>
                </w:tcPr>
                <w:p>
                  <w:pPr>
                    <w:pStyle w:val="12"/>
                    <w:snapToGrid w:val="0"/>
                    <w:ind w:hanging="7"/>
                    <w:jc w:val="center"/>
                    <w:rPr>
                      <w:rFonts w:ascii="Times New Roman" w:hAnsi="宋体" w:eastAsia="宋体"/>
                      <w:b/>
                      <w:bCs/>
                      <w:color w:val="000000" w:themeColor="text1"/>
                      <w:szCs w:val="21"/>
                    </w:rPr>
                  </w:pPr>
                  <w:r>
                    <w:rPr>
                      <w:rFonts w:ascii="Times New Roman" w:hAnsi="宋体" w:eastAsia="宋体"/>
                      <w:b/>
                      <w:bCs/>
                      <w:color w:val="000000" w:themeColor="text1"/>
                      <w:szCs w:val="21"/>
                    </w:rPr>
                    <w:t>（单位：</w:t>
                  </w:r>
                  <w:r>
                    <w:rPr>
                      <w:rFonts w:ascii="Times New Roman" w:hAnsi="Times New Roman" w:eastAsia="宋体"/>
                      <w:b/>
                      <w:bCs/>
                      <w:color w:val="000000" w:themeColor="text1"/>
                      <w:szCs w:val="21"/>
                    </w:rPr>
                    <w:t>[dB(A)]</w:t>
                  </w:r>
                  <w:r>
                    <w:rPr>
                      <w:rFonts w:ascii="Times New Roman" w:hAnsi="宋体" w:eastAsia="宋体"/>
                      <w:b/>
                      <w:bCs/>
                      <w:color w:val="000000" w:themeColor="text1"/>
                      <w:szCs w:val="21"/>
                    </w:rPr>
                    <w:t>）</w:t>
                  </w:r>
                </w:p>
              </w:tc>
              <w:tc>
                <w:tcPr>
                  <w:tcW w:w="3098" w:type="dxa"/>
                  <w:vMerge w:val="continue"/>
                  <w:tcBorders>
                    <w:bottom w:val="single" w:color="auto" w:sz="4" w:space="0"/>
                    <w:right w:val="single" w:color="auto" w:sz="8" w:space="0"/>
                  </w:tcBorders>
                  <w:vAlign w:val="center"/>
                </w:tcPr>
                <w:p>
                  <w:pPr>
                    <w:pStyle w:val="12"/>
                    <w:snapToGrid w:val="0"/>
                    <w:spacing w:line="240" w:lineRule="atLeast"/>
                    <w:jc w:val="center"/>
                    <w:rPr>
                      <w:rFonts w:ascii="Times New Roman" w:hAnsi="宋体" w:eastAsia="宋体"/>
                      <w:b/>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2949" w:type="dxa"/>
                  <w:tcBorders>
                    <w:left w:val="single" w:color="auto" w:sz="8" w:space="0"/>
                  </w:tcBorders>
                  <w:vAlign w:val="center"/>
                </w:tcPr>
                <w:p>
                  <w:pPr>
                    <w:adjustRightInd w:val="0"/>
                    <w:snapToGrid w:val="0"/>
                    <w:spacing w:line="260" w:lineRule="exact"/>
                    <w:jc w:val="center"/>
                    <w:rPr>
                      <w:rFonts w:ascii="Times New Roman" w:hAnsi="Times New Roman"/>
                      <w:color w:val="000000" w:themeColor="text1"/>
                      <w:szCs w:val="21"/>
                    </w:rPr>
                  </w:pPr>
                  <w:r>
                    <w:rPr>
                      <w:rFonts w:ascii="Times New Roman" w:hAnsi="宋体"/>
                      <w:color w:val="000000" w:themeColor="text1"/>
                      <w:szCs w:val="21"/>
                    </w:rPr>
                    <w:t>项目东面边界外</w:t>
                  </w:r>
                  <w:r>
                    <w:rPr>
                      <w:rFonts w:ascii="Times New Roman" w:hAnsi="Times New Roman"/>
                      <w:color w:val="000000" w:themeColor="text1"/>
                      <w:szCs w:val="21"/>
                    </w:rPr>
                    <w:t>1</w:t>
                  </w:r>
                  <w:r>
                    <w:rPr>
                      <w:rFonts w:ascii="Times New Roman" w:hAnsi="宋体"/>
                      <w:color w:val="000000" w:themeColor="text1"/>
                      <w:szCs w:val="21"/>
                    </w:rPr>
                    <w:t>米处</w:t>
                  </w:r>
                </w:p>
              </w:tc>
              <w:tc>
                <w:tcPr>
                  <w:tcW w:w="1072" w:type="dxa"/>
                  <w:vAlign w:val="center"/>
                </w:tcPr>
                <w:p>
                  <w:pPr>
                    <w:pStyle w:val="12"/>
                    <w:snapToGrid w:val="0"/>
                    <w:ind w:hanging="7"/>
                    <w:jc w:val="center"/>
                    <w:rPr>
                      <w:rFonts w:ascii="Times New Roman" w:hAnsi="Times New Roman" w:eastAsia="宋体"/>
                      <w:color w:val="000000" w:themeColor="text1"/>
                      <w:szCs w:val="21"/>
                    </w:rPr>
                  </w:pPr>
                  <w:r>
                    <w:rPr>
                      <w:rFonts w:ascii="Times New Roman" w:hAnsi="Times New Roman" w:eastAsia="宋体"/>
                      <w:color w:val="000000" w:themeColor="text1"/>
                      <w:szCs w:val="21"/>
                    </w:rPr>
                    <w:t>58.8</w:t>
                  </w:r>
                </w:p>
              </w:tc>
              <w:tc>
                <w:tcPr>
                  <w:tcW w:w="1185" w:type="dxa"/>
                  <w:vAlign w:val="center"/>
                </w:tcPr>
                <w:p>
                  <w:pPr>
                    <w:pStyle w:val="12"/>
                    <w:snapToGrid w:val="0"/>
                    <w:ind w:hanging="7"/>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49.5</w:t>
                  </w:r>
                </w:p>
              </w:tc>
              <w:tc>
                <w:tcPr>
                  <w:tcW w:w="3098" w:type="dxa"/>
                  <w:vMerge w:val="restart"/>
                  <w:tcBorders>
                    <w:right w:val="single" w:color="auto" w:sz="2" w:space="0"/>
                  </w:tcBorders>
                  <w:vAlign w:val="center"/>
                </w:tcPr>
                <w:p>
                  <w:pPr>
                    <w:pStyle w:val="12"/>
                    <w:snapToGrid w:val="0"/>
                    <w:spacing w:line="240" w:lineRule="atLeast"/>
                    <w:rPr>
                      <w:rFonts w:ascii="Times New Roman" w:hAnsi="Times New Roman" w:eastAsia="宋体"/>
                      <w:color w:val="000000" w:themeColor="text1"/>
                      <w:szCs w:val="21"/>
                    </w:rPr>
                  </w:pPr>
                  <w:r>
                    <w:rPr>
                      <w:rFonts w:ascii="Times New Roman" w:hAnsi="宋体" w:eastAsia="宋体"/>
                      <w:color w:val="000000" w:themeColor="text1"/>
                      <w:szCs w:val="21"/>
                    </w:rPr>
                    <w:t>声环境执行《声环境质量标准》（</w:t>
                  </w:r>
                  <w:r>
                    <w:rPr>
                      <w:rFonts w:ascii="Times New Roman" w:hAnsi="Times New Roman" w:eastAsia="宋体"/>
                      <w:color w:val="000000" w:themeColor="text1"/>
                      <w:szCs w:val="21"/>
                    </w:rPr>
                    <w:t>GB3096-2008</w:t>
                  </w:r>
                  <w:r>
                    <w:rPr>
                      <w:rFonts w:ascii="Times New Roman" w:hAnsi="宋体" w:eastAsia="宋体"/>
                      <w:color w:val="000000" w:themeColor="text1"/>
                      <w:szCs w:val="21"/>
                    </w:rPr>
                    <w:t>）功能区</w:t>
                  </w:r>
                  <w:r>
                    <w:rPr>
                      <w:rFonts w:ascii="Times New Roman" w:hAnsi="Times New Roman" w:eastAsia="宋体"/>
                      <w:color w:val="000000" w:themeColor="text1"/>
                      <w:szCs w:val="21"/>
                    </w:rPr>
                    <w:t>2</w:t>
                  </w:r>
                  <w:r>
                    <w:rPr>
                      <w:rFonts w:ascii="Times New Roman" w:hAnsi="宋体" w:eastAsia="宋体"/>
                      <w:color w:val="000000" w:themeColor="text1"/>
                      <w:szCs w:val="21"/>
                    </w:rPr>
                    <w:t>类标准，即：</w:t>
                  </w:r>
                  <w:r>
                    <w:rPr>
                      <w:rFonts w:ascii="Times New Roman" w:hAnsi="宋体" w:eastAsia="宋体"/>
                      <w:bCs/>
                      <w:color w:val="000000" w:themeColor="text1"/>
                      <w:szCs w:val="21"/>
                    </w:rPr>
                    <w:t>昼间</w:t>
                  </w:r>
                  <w:r>
                    <w:rPr>
                      <w:rFonts w:ascii="Times New Roman" w:hAnsi="Times New Roman" w:eastAsia="宋体"/>
                      <w:bCs/>
                      <w:color w:val="000000" w:themeColor="text1"/>
                      <w:szCs w:val="21"/>
                    </w:rPr>
                    <w:t>60dB(A)</w:t>
                  </w:r>
                  <w:r>
                    <w:rPr>
                      <w:rFonts w:ascii="Times New Roman" w:hAnsi="宋体" w:eastAsia="宋体"/>
                      <w:bCs/>
                      <w:color w:val="000000" w:themeColor="text1"/>
                      <w:szCs w:val="21"/>
                    </w:rPr>
                    <w:t>、夜间</w:t>
                  </w:r>
                  <w:r>
                    <w:rPr>
                      <w:rFonts w:ascii="Times New Roman" w:hAnsi="Times New Roman" w:eastAsia="宋体"/>
                      <w:bCs/>
                      <w:color w:val="000000" w:themeColor="text1"/>
                      <w:szCs w:val="21"/>
                    </w:rPr>
                    <w:t>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2949" w:type="dxa"/>
                  <w:tcBorders>
                    <w:left w:val="single" w:color="auto" w:sz="8" w:space="0"/>
                  </w:tcBorders>
                  <w:vAlign w:val="center"/>
                </w:tcPr>
                <w:p>
                  <w:pPr>
                    <w:adjustRightInd w:val="0"/>
                    <w:snapToGrid w:val="0"/>
                    <w:spacing w:line="260" w:lineRule="exact"/>
                    <w:jc w:val="center"/>
                    <w:rPr>
                      <w:rFonts w:ascii="Times New Roman" w:hAnsi="Times New Roman"/>
                      <w:bCs/>
                      <w:color w:val="000000" w:themeColor="text1"/>
                      <w:szCs w:val="21"/>
                    </w:rPr>
                  </w:pPr>
                  <w:r>
                    <w:rPr>
                      <w:rFonts w:ascii="Times New Roman" w:hAnsi="宋体"/>
                      <w:color w:val="000000" w:themeColor="text1"/>
                      <w:szCs w:val="21"/>
                    </w:rPr>
                    <w:t>项目南面边界外</w:t>
                  </w:r>
                  <w:r>
                    <w:rPr>
                      <w:rFonts w:ascii="Times New Roman" w:hAnsi="Times New Roman"/>
                      <w:color w:val="000000" w:themeColor="text1"/>
                      <w:szCs w:val="21"/>
                    </w:rPr>
                    <w:t>1</w:t>
                  </w:r>
                  <w:r>
                    <w:rPr>
                      <w:rFonts w:ascii="Times New Roman" w:hAnsi="宋体"/>
                      <w:color w:val="000000" w:themeColor="text1"/>
                      <w:szCs w:val="21"/>
                    </w:rPr>
                    <w:t>米处</w:t>
                  </w:r>
                </w:p>
              </w:tc>
              <w:tc>
                <w:tcPr>
                  <w:tcW w:w="1072" w:type="dxa"/>
                  <w:vAlign w:val="center"/>
                </w:tcPr>
                <w:p>
                  <w:pPr>
                    <w:pStyle w:val="12"/>
                    <w:snapToGrid w:val="0"/>
                    <w:ind w:hanging="7"/>
                    <w:jc w:val="center"/>
                    <w:rPr>
                      <w:rFonts w:ascii="Times New Roman" w:hAnsi="Times New Roman" w:eastAsia="宋体"/>
                      <w:color w:val="000000" w:themeColor="text1"/>
                      <w:szCs w:val="21"/>
                    </w:rPr>
                  </w:pPr>
                  <w:r>
                    <w:rPr>
                      <w:rFonts w:ascii="Times New Roman" w:hAnsi="Times New Roman" w:eastAsia="宋体"/>
                      <w:color w:val="000000" w:themeColor="text1"/>
                      <w:szCs w:val="21"/>
                    </w:rPr>
                    <w:t>59.8</w:t>
                  </w:r>
                </w:p>
              </w:tc>
              <w:tc>
                <w:tcPr>
                  <w:tcW w:w="1185" w:type="dxa"/>
                  <w:vAlign w:val="center"/>
                </w:tcPr>
                <w:p>
                  <w:pPr>
                    <w:pStyle w:val="12"/>
                    <w:snapToGrid w:val="0"/>
                    <w:ind w:hanging="7"/>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49.8</w:t>
                  </w:r>
                </w:p>
              </w:tc>
              <w:tc>
                <w:tcPr>
                  <w:tcW w:w="3098" w:type="dxa"/>
                  <w:vMerge w:val="continue"/>
                  <w:tcBorders>
                    <w:right w:val="single" w:color="auto" w:sz="2" w:space="0"/>
                  </w:tcBorders>
                  <w:vAlign w:val="center"/>
                </w:tcPr>
                <w:p>
                  <w:pPr>
                    <w:pStyle w:val="12"/>
                    <w:snapToGrid w:val="0"/>
                    <w:spacing w:line="240" w:lineRule="atLeast"/>
                    <w:rPr>
                      <w:rFonts w:ascii="Times New Roman" w:hAnsi="Times New Roman" w:eastAsia="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2949" w:type="dxa"/>
                  <w:tcBorders>
                    <w:left w:val="single" w:color="auto" w:sz="8" w:space="0"/>
                  </w:tcBorders>
                  <w:vAlign w:val="center"/>
                </w:tcPr>
                <w:p>
                  <w:pPr>
                    <w:adjustRightInd w:val="0"/>
                    <w:snapToGrid w:val="0"/>
                    <w:spacing w:line="260" w:lineRule="exact"/>
                    <w:jc w:val="center"/>
                    <w:rPr>
                      <w:rFonts w:ascii="Times New Roman" w:hAnsi="Times New Roman"/>
                      <w:bCs/>
                      <w:color w:val="000000" w:themeColor="text1"/>
                      <w:szCs w:val="21"/>
                    </w:rPr>
                  </w:pPr>
                  <w:r>
                    <w:rPr>
                      <w:rFonts w:ascii="Times New Roman" w:hAnsi="宋体"/>
                      <w:color w:val="000000" w:themeColor="text1"/>
                      <w:szCs w:val="21"/>
                    </w:rPr>
                    <w:t>项目西面边界外</w:t>
                  </w:r>
                  <w:r>
                    <w:rPr>
                      <w:rFonts w:ascii="Times New Roman" w:hAnsi="Times New Roman"/>
                      <w:color w:val="000000" w:themeColor="text1"/>
                      <w:szCs w:val="21"/>
                    </w:rPr>
                    <w:t>1</w:t>
                  </w:r>
                  <w:r>
                    <w:rPr>
                      <w:rFonts w:ascii="Times New Roman" w:hAnsi="宋体"/>
                      <w:color w:val="000000" w:themeColor="text1"/>
                      <w:szCs w:val="21"/>
                    </w:rPr>
                    <w:t>米处</w:t>
                  </w:r>
                </w:p>
              </w:tc>
              <w:tc>
                <w:tcPr>
                  <w:tcW w:w="1072" w:type="dxa"/>
                  <w:vAlign w:val="center"/>
                </w:tcPr>
                <w:p>
                  <w:pPr>
                    <w:pStyle w:val="12"/>
                    <w:snapToGrid w:val="0"/>
                    <w:ind w:hanging="7"/>
                    <w:jc w:val="center"/>
                    <w:rPr>
                      <w:rFonts w:ascii="Times New Roman" w:hAnsi="Times New Roman" w:eastAsia="宋体"/>
                      <w:color w:val="000000" w:themeColor="text1"/>
                      <w:szCs w:val="21"/>
                    </w:rPr>
                  </w:pPr>
                  <w:r>
                    <w:rPr>
                      <w:rFonts w:ascii="Times New Roman" w:hAnsi="Times New Roman" w:eastAsia="宋体"/>
                      <w:color w:val="000000" w:themeColor="text1"/>
                      <w:szCs w:val="21"/>
                    </w:rPr>
                    <w:t>59.6</w:t>
                  </w:r>
                </w:p>
              </w:tc>
              <w:tc>
                <w:tcPr>
                  <w:tcW w:w="1185" w:type="dxa"/>
                  <w:vAlign w:val="center"/>
                </w:tcPr>
                <w:p>
                  <w:pPr>
                    <w:pStyle w:val="12"/>
                    <w:snapToGrid w:val="0"/>
                    <w:ind w:hanging="7"/>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49.7</w:t>
                  </w:r>
                </w:p>
              </w:tc>
              <w:tc>
                <w:tcPr>
                  <w:tcW w:w="3098" w:type="dxa"/>
                  <w:vMerge w:val="continue"/>
                  <w:tcBorders>
                    <w:right w:val="single" w:color="auto" w:sz="2" w:space="0"/>
                  </w:tcBorders>
                  <w:vAlign w:val="center"/>
                </w:tcPr>
                <w:p>
                  <w:pPr>
                    <w:pStyle w:val="12"/>
                    <w:snapToGrid w:val="0"/>
                    <w:spacing w:line="240" w:lineRule="atLeast"/>
                    <w:rPr>
                      <w:rFonts w:ascii="Times New Roman" w:hAnsi="Times New Roman" w:eastAsia="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2949" w:type="dxa"/>
                  <w:tcBorders>
                    <w:left w:val="single" w:color="auto" w:sz="8" w:space="0"/>
                  </w:tcBorders>
                  <w:vAlign w:val="center"/>
                </w:tcPr>
                <w:p>
                  <w:pPr>
                    <w:adjustRightInd w:val="0"/>
                    <w:snapToGrid w:val="0"/>
                    <w:spacing w:line="260" w:lineRule="exact"/>
                    <w:jc w:val="center"/>
                    <w:rPr>
                      <w:rFonts w:ascii="Times New Roman" w:hAnsi="Times New Roman"/>
                      <w:bCs/>
                      <w:color w:val="000000" w:themeColor="text1"/>
                      <w:szCs w:val="21"/>
                    </w:rPr>
                  </w:pPr>
                  <w:r>
                    <w:rPr>
                      <w:rFonts w:ascii="Times New Roman" w:hAnsi="宋体"/>
                      <w:color w:val="000000" w:themeColor="text1"/>
                      <w:szCs w:val="21"/>
                    </w:rPr>
                    <w:t>项目北面边界外</w:t>
                  </w:r>
                  <w:r>
                    <w:rPr>
                      <w:rFonts w:ascii="Times New Roman" w:hAnsi="Times New Roman"/>
                      <w:color w:val="000000" w:themeColor="text1"/>
                      <w:szCs w:val="21"/>
                    </w:rPr>
                    <w:t>1</w:t>
                  </w:r>
                  <w:r>
                    <w:rPr>
                      <w:rFonts w:ascii="Times New Roman" w:hAnsi="宋体"/>
                      <w:color w:val="000000" w:themeColor="text1"/>
                      <w:szCs w:val="21"/>
                    </w:rPr>
                    <w:t>米处</w:t>
                  </w:r>
                </w:p>
              </w:tc>
              <w:tc>
                <w:tcPr>
                  <w:tcW w:w="1072" w:type="dxa"/>
                  <w:vAlign w:val="center"/>
                </w:tcPr>
                <w:p>
                  <w:pPr>
                    <w:pStyle w:val="12"/>
                    <w:snapToGrid w:val="0"/>
                    <w:ind w:hanging="7"/>
                    <w:jc w:val="center"/>
                    <w:rPr>
                      <w:rFonts w:ascii="Times New Roman" w:hAnsi="Times New Roman" w:eastAsia="宋体"/>
                      <w:color w:val="000000" w:themeColor="text1"/>
                      <w:szCs w:val="21"/>
                    </w:rPr>
                  </w:pPr>
                  <w:r>
                    <w:rPr>
                      <w:rFonts w:ascii="Times New Roman" w:hAnsi="Times New Roman" w:eastAsia="宋体"/>
                      <w:color w:val="000000" w:themeColor="text1"/>
                      <w:szCs w:val="21"/>
                    </w:rPr>
                    <w:t>58.5</w:t>
                  </w:r>
                </w:p>
              </w:tc>
              <w:tc>
                <w:tcPr>
                  <w:tcW w:w="1185" w:type="dxa"/>
                  <w:vAlign w:val="center"/>
                </w:tcPr>
                <w:p>
                  <w:pPr>
                    <w:pStyle w:val="12"/>
                    <w:snapToGrid w:val="0"/>
                    <w:ind w:hanging="7"/>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49.3</w:t>
                  </w:r>
                </w:p>
              </w:tc>
              <w:tc>
                <w:tcPr>
                  <w:tcW w:w="3098" w:type="dxa"/>
                  <w:vMerge w:val="continue"/>
                  <w:tcBorders>
                    <w:right w:val="single" w:color="auto" w:sz="2" w:space="0"/>
                  </w:tcBorders>
                  <w:vAlign w:val="center"/>
                </w:tcPr>
                <w:p>
                  <w:pPr>
                    <w:pStyle w:val="12"/>
                    <w:snapToGrid w:val="0"/>
                    <w:spacing w:line="240" w:lineRule="atLeast"/>
                    <w:rPr>
                      <w:rFonts w:ascii="Times New Roman" w:hAnsi="Times New Roman" w:eastAsia="宋体"/>
                      <w:color w:val="000000" w:themeColor="text1"/>
                      <w:szCs w:val="21"/>
                    </w:rPr>
                  </w:pPr>
                </w:p>
              </w:tc>
            </w:tr>
          </w:tbl>
          <w:p>
            <w:pPr>
              <w:adjustRightInd w:val="0"/>
              <w:snapToGrid w:val="0"/>
              <w:spacing w:beforeLines="20" w:line="360" w:lineRule="auto"/>
              <w:ind w:firstLine="480" w:firstLineChars="200"/>
              <w:rPr>
                <w:rFonts w:ascii="Times New Roman" w:hAnsi="Times New Roman"/>
                <w:color w:val="FF0000"/>
                <w:sz w:val="24"/>
              </w:rPr>
            </w:pPr>
            <w:r>
              <w:rPr>
                <w:rFonts w:ascii="Times New Roman" w:hAnsi="宋体"/>
                <w:color w:val="000000" w:themeColor="text1"/>
                <w:sz w:val="24"/>
              </w:rPr>
              <w:t>从监测结果来看，项目边界昼间</w:t>
            </w:r>
            <w:r>
              <w:rPr>
                <w:rFonts w:hint="eastAsia" w:ascii="Times New Roman" w:hAnsi="宋体"/>
                <w:color w:val="000000" w:themeColor="text1"/>
                <w:sz w:val="24"/>
              </w:rPr>
              <w:t>、夜间</w:t>
            </w:r>
            <w:r>
              <w:rPr>
                <w:rFonts w:ascii="Times New Roman" w:hAnsi="宋体"/>
                <w:color w:val="000000" w:themeColor="text1"/>
                <w:sz w:val="24"/>
              </w:rPr>
              <w:t>声环境能满足《声环境质量标准》（</w:t>
            </w:r>
            <w:r>
              <w:rPr>
                <w:rFonts w:ascii="Times New Roman" w:hAnsi="Times New Roman"/>
                <w:color w:val="000000" w:themeColor="text1"/>
                <w:sz w:val="24"/>
              </w:rPr>
              <w:t>GB3096-2008</w:t>
            </w:r>
            <w:r>
              <w:rPr>
                <w:rFonts w:ascii="Times New Roman" w:hAnsi="宋体"/>
                <w:color w:val="000000" w:themeColor="text1"/>
                <w:sz w:val="24"/>
              </w:rPr>
              <w:t>）</w:t>
            </w:r>
            <w:r>
              <w:rPr>
                <w:rFonts w:ascii="Times New Roman" w:hAnsi="Times New Roman"/>
                <w:color w:val="000000" w:themeColor="text1"/>
                <w:sz w:val="24"/>
              </w:rPr>
              <w:t>2</w:t>
            </w:r>
            <w:r>
              <w:rPr>
                <w:rFonts w:ascii="Times New Roman" w:hAnsi="宋体"/>
                <w:color w:val="000000" w:themeColor="text1"/>
                <w:sz w:val="24"/>
              </w:rPr>
              <w:t>类标准要求，从总体上看，本区域噪声现状的环境质量比较好。</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8719" w:type="dxa"/>
            <w:tcBorders>
              <w:bottom w:val="single" w:color="auto" w:sz="4" w:space="0"/>
            </w:tcBorders>
          </w:tcPr>
          <w:p>
            <w:pPr>
              <w:autoSpaceDE w:val="0"/>
              <w:autoSpaceDN w:val="0"/>
              <w:adjustRightInd w:val="0"/>
              <w:rPr>
                <w:rFonts w:ascii="TimesNewRomanPSMT" w:hAnsi="TimesNewRomanPSMT" w:cs="TimesNewRomanPSMT"/>
                <w:b/>
                <w:color w:val="000000" w:themeColor="text1"/>
                <w:kern w:val="0"/>
                <w:sz w:val="24"/>
                <w:szCs w:val="24"/>
              </w:rPr>
            </w:pPr>
            <w:r>
              <w:rPr>
                <w:rFonts w:ascii="TimesNewRomanPSMT" w:hAnsi="TimesNewRomanPSMT" w:cs="TimesNewRomanPSMT"/>
                <w:b/>
                <w:color w:val="000000" w:themeColor="text1"/>
                <w:kern w:val="0"/>
                <w:sz w:val="24"/>
                <w:szCs w:val="24"/>
              </w:rPr>
              <w:t>主要环境保护目标(列出名单及保护级别)：</w:t>
            </w:r>
          </w:p>
          <w:p>
            <w:pPr>
              <w:autoSpaceDE w:val="0"/>
              <w:autoSpaceDN w:val="0"/>
              <w:adjustRightInd w:val="0"/>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imes New Roman" w:eastAsiaTheme="minorEastAsia"/>
                <w:color w:val="000000" w:themeColor="text1"/>
                <w:kern w:val="0"/>
                <w:sz w:val="24"/>
                <w:szCs w:val="24"/>
              </w:rPr>
              <w:t>1</w:t>
            </w:r>
            <w:r>
              <w:rPr>
                <w:rFonts w:ascii="Times New Roman" w:hAnsiTheme="minorEastAsia" w:eastAsiaTheme="minorEastAsia"/>
                <w:color w:val="000000" w:themeColor="text1"/>
                <w:kern w:val="0"/>
                <w:sz w:val="24"/>
                <w:szCs w:val="24"/>
              </w:rPr>
              <w:t>、环境空气保护目标</w:t>
            </w:r>
          </w:p>
          <w:p>
            <w:pPr>
              <w:autoSpaceDE w:val="0"/>
              <w:autoSpaceDN w:val="0"/>
              <w:adjustRightInd w:val="0"/>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保护项目所在区域环境空气质量，使其符合《环境空气质量标准》（</w:t>
            </w:r>
            <w:r>
              <w:rPr>
                <w:rFonts w:ascii="Times New Roman" w:hAnsi="Times New Roman" w:eastAsiaTheme="minorEastAsia"/>
                <w:color w:val="000000" w:themeColor="text1"/>
                <w:kern w:val="0"/>
                <w:sz w:val="24"/>
                <w:szCs w:val="24"/>
              </w:rPr>
              <w:t>GB3095-2012</w:t>
            </w:r>
            <w:r>
              <w:rPr>
                <w:rFonts w:ascii="Times New Roman" w:hAnsiTheme="minorEastAsia" w:eastAsiaTheme="minorEastAsia"/>
                <w:color w:val="000000" w:themeColor="text1"/>
                <w:kern w:val="0"/>
                <w:sz w:val="24"/>
                <w:szCs w:val="24"/>
              </w:rPr>
              <w:t>）中二级标准要求。</w:t>
            </w:r>
          </w:p>
          <w:p>
            <w:pPr>
              <w:autoSpaceDE w:val="0"/>
              <w:autoSpaceDN w:val="0"/>
              <w:adjustRightInd w:val="0"/>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imes New Roman" w:eastAsiaTheme="minorEastAsia"/>
                <w:color w:val="000000" w:themeColor="text1"/>
                <w:kern w:val="0"/>
                <w:sz w:val="24"/>
                <w:szCs w:val="24"/>
              </w:rPr>
              <w:t>2</w:t>
            </w:r>
            <w:r>
              <w:rPr>
                <w:rFonts w:ascii="Times New Roman" w:hAnsiTheme="minorEastAsia" w:eastAsiaTheme="minorEastAsia"/>
                <w:color w:val="000000" w:themeColor="text1"/>
                <w:kern w:val="0"/>
                <w:sz w:val="24"/>
                <w:szCs w:val="24"/>
              </w:rPr>
              <w:t>、水环境保护目标</w:t>
            </w:r>
          </w:p>
          <w:p>
            <w:pPr>
              <w:autoSpaceDE w:val="0"/>
              <w:autoSpaceDN w:val="0"/>
              <w:adjustRightInd w:val="0"/>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项目附近海域水质符合《海水水质标准》（</w:t>
            </w:r>
            <w:r>
              <w:rPr>
                <w:rFonts w:ascii="Times New Roman" w:hAnsi="Times New Roman" w:eastAsiaTheme="minorEastAsia"/>
                <w:color w:val="000000" w:themeColor="text1"/>
                <w:kern w:val="0"/>
                <w:sz w:val="24"/>
                <w:szCs w:val="24"/>
              </w:rPr>
              <w:t>GB3097-1997</w:t>
            </w:r>
            <w:r>
              <w:rPr>
                <w:rFonts w:ascii="Times New Roman" w:hAnsiTheme="minorEastAsia" w:eastAsiaTheme="minorEastAsia"/>
                <w:color w:val="000000" w:themeColor="text1"/>
                <w:kern w:val="0"/>
                <w:sz w:val="24"/>
                <w:szCs w:val="24"/>
              </w:rPr>
              <w:t>）海水水质标准</w:t>
            </w:r>
            <w:r>
              <w:rPr>
                <w:rFonts w:hint="eastAsia" w:ascii="Times New Roman" w:hAnsiTheme="minorEastAsia" w:eastAsiaTheme="minorEastAsia"/>
                <w:color w:val="000000" w:themeColor="text1"/>
                <w:kern w:val="0"/>
                <w:sz w:val="24"/>
                <w:szCs w:val="24"/>
              </w:rPr>
              <w:t>二</w:t>
            </w:r>
            <w:r>
              <w:rPr>
                <w:rFonts w:ascii="Times New Roman" w:hAnsiTheme="minorEastAsia" w:eastAsiaTheme="minorEastAsia"/>
                <w:color w:val="000000" w:themeColor="text1"/>
                <w:kern w:val="0"/>
                <w:sz w:val="24"/>
                <w:szCs w:val="24"/>
              </w:rPr>
              <w:t>类标准，海水水质不因本工程的环保改造发生改变。</w:t>
            </w:r>
          </w:p>
          <w:p>
            <w:pPr>
              <w:autoSpaceDE w:val="0"/>
              <w:autoSpaceDN w:val="0"/>
              <w:adjustRightInd w:val="0"/>
              <w:spacing w:line="360" w:lineRule="auto"/>
              <w:ind w:firstLine="360" w:firstLineChars="150"/>
              <w:rPr>
                <w:rFonts w:ascii="Times New Roman" w:hAnsi="Times New Roman" w:eastAsiaTheme="minorEastAsia"/>
                <w:color w:val="000000" w:themeColor="text1"/>
                <w:kern w:val="0"/>
                <w:sz w:val="24"/>
                <w:szCs w:val="24"/>
              </w:rPr>
            </w:pPr>
            <w:r>
              <w:rPr>
                <w:rFonts w:ascii="Times New Roman" w:hAnsi="Times New Roman" w:eastAsiaTheme="minorEastAsia"/>
                <w:color w:val="000000" w:themeColor="text1"/>
                <w:kern w:val="0"/>
                <w:sz w:val="24"/>
                <w:szCs w:val="24"/>
              </w:rPr>
              <w:t>3</w:t>
            </w:r>
            <w:r>
              <w:rPr>
                <w:rFonts w:ascii="Times New Roman" w:hAnsiTheme="minorEastAsia" w:eastAsiaTheme="minorEastAsia"/>
                <w:color w:val="000000" w:themeColor="text1"/>
                <w:kern w:val="0"/>
                <w:sz w:val="24"/>
                <w:szCs w:val="24"/>
              </w:rPr>
              <w:t>、声环境保护目标</w:t>
            </w:r>
          </w:p>
          <w:p>
            <w:pPr>
              <w:autoSpaceDE w:val="0"/>
              <w:autoSpaceDN w:val="0"/>
              <w:adjustRightInd w:val="0"/>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保护项目所在区域声环境质量，使其</w:t>
            </w:r>
            <w:r>
              <w:rPr>
                <w:rFonts w:hint="eastAsia" w:ascii="Times New Roman" w:hAnsiTheme="minorEastAsia" w:eastAsiaTheme="minorEastAsia"/>
                <w:color w:val="000000" w:themeColor="text1"/>
                <w:kern w:val="0"/>
                <w:sz w:val="24"/>
                <w:szCs w:val="24"/>
              </w:rPr>
              <w:t>边界</w:t>
            </w:r>
            <w:r>
              <w:rPr>
                <w:rFonts w:ascii="Times New Roman" w:hAnsiTheme="minorEastAsia" w:eastAsiaTheme="minorEastAsia"/>
                <w:color w:val="000000" w:themeColor="text1"/>
                <w:kern w:val="0"/>
                <w:sz w:val="24"/>
                <w:szCs w:val="24"/>
              </w:rPr>
              <w:t>符合《声环境质量标准》（</w:t>
            </w:r>
            <w:r>
              <w:rPr>
                <w:rFonts w:ascii="Times New Roman" w:hAnsi="Times New Roman" w:eastAsiaTheme="minorEastAsia"/>
                <w:color w:val="000000" w:themeColor="text1"/>
                <w:kern w:val="0"/>
                <w:sz w:val="24"/>
                <w:szCs w:val="24"/>
              </w:rPr>
              <w:t>GB3096-2008</w:t>
            </w:r>
            <w:r>
              <w:rPr>
                <w:rFonts w:ascii="Times New Roman" w:hAnsiTheme="minorEastAsia" w:eastAsiaTheme="minorEastAsia"/>
                <w:color w:val="000000" w:themeColor="text1"/>
                <w:kern w:val="0"/>
                <w:sz w:val="24"/>
                <w:szCs w:val="24"/>
              </w:rPr>
              <w:t>）</w:t>
            </w:r>
            <w:r>
              <w:rPr>
                <w:rFonts w:hint="eastAsia" w:ascii="Times New Roman" w:hAnsi="Times New Roman" w:eastAsiaTheme="minorEastAsia"/>
                <w:color w:val="000000" w:themeColor="text1"/>
                <w:kern w:val="0"/>
                <w:sz w:val="24"/>
                <w:szCs w:val="24"/>
              </w:rPr>
              <w:t>2</w:t>
            </w:r>
            <w:r>
              <w:rPr>
                <w:rFonts w:ascii="Times New Roman" w:hAnsiTheme="minorEastAsia" w:eastAsiaTheme="minorEastAsia"/>
                <w:color w:val="000000" w:themeColor="text1"/>
                <w:kern w:val="0"/>
                <w:sz w:val="24"/>
                <w:szCs w:val="24"/>
              </w:rPr>
              <w:t>类标准；附近声环境敏感目标处符合《声环境质量标准》（</w:t>
            </w:r>
            <w:r>
              <w:rPr>
                <w:rFonts w:ascii="Times New Roman" w:hAnsi="Times New Roman" w:eastAsiaTheme="minorEastAsia"/>
                <w:color w:val="000000" w:themeColor="text1"/>
                <w:kern w:val="0"/>
                <w:sz w:val="24"/>
                <w:szCs w:val="24"/>
              </w:rPr>
              <w:t>GB3096-2008</w:t>
            </w:r>
            <w:r>
              <w:rPr>
                <w:rFonts w:ascii="Times New Roman" w:hAnsiTheme="minorEastAsia" w:eastAsiaTheme="minorEastAsia"/>
                <w:color w:val="000000" w:themeColor="text1"/>
                <w:kern w:val="0"/>
                <w:sz w:val="24"/>
                <w:szCs w:val="24"/>
              </w:rPr>
              <w:t>）</w:t>
            </w:r>
            <w:r>
              <w:rPr>
                <w:rFonts w:ascii="Times New Roman" w:hAnsi="Times New Roman" w:eastAsiaTheme="minorEastAsia"/>
                <w:color w:val="000000" w:themeColor="text1"/>
                <w:kern w:val="0"/>
                <w:sz w:val="24"/>
                <w:szCs w:val="24"/>
              </w:rPr>
              <w:t>2</w:t>
            </w:r>
            <w:r>
              <w:rPr>
                <w:rFonts w:ascii="Times New Roman" w:hAnsiTheme="minorEastAsia" w:eastAsiaTheme="minorEastAsia"/>
                <w:color w:val="000000" w:themeColor="text1"/>
                <w:kern w:val="0"/>
                <w:sz w:val="24"/>
                <w:szCs w:val="24"/>
              </w:rPr>
              <w:t>类标准。</w:t>
            </w:r>
          </w:p>
          <w:p>
            <w:pPr>
              <w:pStyle w:val="135"/>
              <w:ind w:firstLine="480"/>
              <w:rPr>
                <w:color w:val="000000" w:themeColor="text1"/>
                <w:lang w:eastAsia="zh-CN"/>
              </w:rPr>
            </w:pPr>
            <w:r>
              <w:rPr>
                <w:color w:val="000000" w:themeColor="text1"/>
                <w:lang w:eastAsia="zh-CN"/>
              </w:rPr>
              <w:t>根据现场调查，本项目的主要环境敏感点见表</w:t>
            </w:r>
            <w:r>
              <w:rPr>
                <w:rFonts w:hint="eastAsia"/>
                <w:color w:val="000000" w:themeColor="text1"/>
                <w:lang w:eastAsia="zh-CN"/>
              </w:rPr>
              <w:t>6</w:t>
            </w:r>
            <w:r>
              <w:rPr>
                <w:color w:val="000000" w:themeColor="text1"/>
                <w:lang w:eastAsia="zh-CN"/>
              </w:rPr>
              <w:t>。</w:t>
            </w:r>
          </w:p>
          <w:p>
            <w:pPr>
              <w:pStyle w:val="137"/>
              <w:spacing w:beforeLines="0" w:line="360" w:lineRule="auto"/>
              <w:rPr>
                <w:b w:val="0"/>
                <w:color w:val="000000" w:themeColor="text1"/>
                <w:lang w:val="en-US" w:eastAsia="zh-CN"/>
              </w:rPr>
            </w:pPr>
            <w:r>
              <w:rPr>
                <w:color w:val="000000" w:themeColor="text1"/>
                <w:szCs w:val="24"/>
                <w:lang w:val="en-US" w:eastAsia="zh-CN"/>
              </w:rPr>
              <w:t>表</w:t>
            </w:r>
            <w:r>
              <w:rPr>
                <w:rFonts w:hint="eastAsia"/>
                <w:color w:val="000000" w:themeColor="text1"/>
                <w:szCs w:val="24"/>
                <w:lang w:val="en-US" w:eastAsia="zh-CN"/>
              </w:rPr>
              <w:t>6</w:t>
            </w:r>
            <w:r>
              <w:rPr>
                <w:color w:val="000000" w:themeColor="text1"/>
                <w:szCs w:val="24"/>
                <w:lang w:val="en-US" w:eastAsia="zh-CN"/>
              </w:rPr>
              <w:t xml:space="preserve">  主要环境保护目标一</w:t>
            </w:r>
            <w:r>
              <w:rPr>
                <w:color w:val="000000" w:themeColor="text1"/>
                <w:sz w:val="21"/>
                <w:szCs w:val="21"/>
                <w:lang w:val="en-US" w:eastAsia="zh-CN"/>
              </w:rPr>
              <w:t>览表</w:t>
            </w:r>
          </w:p>
          <w:tbl>
            <w:tblPr>
              <w:tblStyle w:val="27"/>
              <w:tblW w:w="8493"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239"/>
              <w:gridCol w:w="1554"/>
              <w:gridCol w:w="846"/>
              <w:gridCol w:w="987"/>
              <w:gridCol w:w="983"/>
              <w:gridCol w:w="288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1239" w:type="dxa"/>
                  <w:vAlign w:val="center"/>
                </w:tcPr>
                <w:p>
                  <w:pPr>
                    <w:jc w:val="center"/>
                    <w:rPr>
                      <w:rFonts w:ascii="Times New Roman" w:hAnsi="Times New Roman"/>
                      <w:b/>
                      <w:color w:val="000000" w:themeColor="text1"/>
                      <w:szCs w:val="21"/>
                    </w:rPr>
                  </w:pPr>
                  <w:r>
                    <w:rPr>
                      <w:rFonts w:ascii="Times New Roman" w:hAnsi="Times New Roman"/>
                      <w:b/>
                      <w:color w:val="000000" w:themeColor="text1"/>
                      <w:szCs w:val="21"/>
                    </w:rPr>
                    <w:t>环境要素</w:t>
                  </w:r>
                </w:p>
              </w:tc>
              <w:tc>
                <w:tcPr>
                  <w:tcW w:w="1554" w:type="dxa"/>
                  <w:vAlign w:val="center"/>
                </w:tcPr>
                <w:p>
                  <w:pPr>
                    <w:jc w:val="center"/>
                    <w:rPr>
                      <w:rFonts w:ascii="Times New Roman" w:hAnsi="Times New Roman"/>
                      <w:b/>
                      <w:color w:val="000000" w:themeColor="text1"/>
                      <w:szCs w:val="21"/>
                    </w:rPr>
                  </w:pPr>
                  <w:r>
                    <w:rPr>
                      <w:rFonts w:ascii="Times New Roman" w:hAnsi="Times New Roman"/>
                      <w:b/>
                      <w:color w:val="000000" w:themeColor="text1"/>
                      <w:szCs w:val="21"/>
                    </w:rPr>
                    <w:t>环境敏感点</w:t>
                  </w:r>
                </w:p>
                <w:p>
                  <w:pPr>
                    <w:jc w:val="center"/>
                    <w:rPr>
                      <w:rFonts w:ascii="Times New Roman" w:hAnsi="Times New Roman"/>
                      <w:b/>
                      <w:color w:val="000000" w:themeColor="text1"/>
                      <w:szCs w:val="21"/>
                    </w:rPr>
                  </w:pPr>
                  <w:r>
                    <w:rPr>
                      <w:rFonts w:ascii="Times New Roman" w:hAnsi="Times New Roman"/>
                      <w:b/>
                      <w:color w:val="000000" w:themeColor="text1"/>
                      <w:szCs w:val="21"/>
                    </w:rPr>
                    <w:t>（保护目标）</w:t>
                  </w:r>
                </w:p>
              </w:tc>
              <w:tc>
                <w:tcPr>
                  <w:tcW w:w="846" w:type="dxa"/>
                  <w:vAlign w:val="center"/>
                </w:tcPr>
                <w:p>
                  <w:pPr>
                    <w:jc w:val="center"/>
                    <w:rPr>
                      <w:rFonts w:ascii="Times New Roman" w:hAnsi="Times New Roman"/>
                      <w:b/>
                      <w:color w:val="000000" w:themeColor="text1"/>
                      <w:szCs w:val="21"/>
                    </w:rPr>
                  </w:pPr>
                  <w:r>
                    <w:rPr>
                      <w:rFonts w:ascii="Times New Roman" w:hAnsi="Times New Roman"/>
                      <w:b/>
                      <w:color w:val="000000" w:themeColor="text1"/>
                      <w:szCs w:val="21"/>
                    </w:rPr>
                    <w:t>方位</w:t>
                  </w:r>
                </w:p>
              </w:tc>
              <w:tc>
                <w:tcPr>
                  <w:tcW w:w="987" w:type="dxa"/>
                  <w:vAlign w:val="center"/>
                </w:tcPr>
                <w:p>
                  <w:pPr>
                    <w:jc w:val="center"/>
                    <w:rPr>
                      <w:rFonts w:ascii="Times New Roman" w:hAnsi="Times New Roman"/>
                      <w:b/>
                      <w:color w:val="000000" w:themeColor="text1"/>
                      <w:szCs w:val="21"/>
                    </w:rPr>
                  </w:pPr>
                  <w:r>
                    <w:rPr>
                      <w:rFonts w:ascii="Times New Roman" w:hAnsi="Times New Roman"/>
                      <w:b/>
                      <w:color w:val="000000" w:themeColor="text1"/>
                      <w:szCs w:val="21"/>
                    </w:rPr>
                    <w:t>距离</w:t>
                  </w:r>
                </w:p>
                <w:p>
                  <w:pPr>
                    <w:jc w:val="center"/>
                    <w:rPr>
                      <w:rFonts w:ascii="Times New Roman" w:hAnsi="Times New Roman"/>
                      <w:b/>
                      <w:color w:val="000000" w:themeColor="text1"/>
                      <w:szCs w:val="21"/>
                    </w:rPr>
                  </w:pPr>
                  <w:r>
                    <w:rPr>
                      <w:rFonts w:ascii="Times New Roman" w:hAnsi="Times New Roman"/>
                      <w:b/>
                      <w:color w:val="000000" w:themeColor="text1"/>
                      <w:szCs w:val="21"/>
                    </w:rPr>
                    <w:t>（m）</w:t>
                  </w:r>
                </w:p>
              </w:tc>
              <w:tc>
                <w:tcPr>
                  <w:tcW w:w="983" w:type="dxa"/>
                  <w:vAlign w:val="center"/>
                </w:tcPr>
                <w:p>
                  <w:pPr>
                    <w:jc w:val="center"/>
                    <w:rPr>
                      <w:rFonts w:ascii="Times New Roman" w:hAnsi="Times New Roman"/>
                      <w:b/>
                      <w:color w:val="000000" w:themeColor="text1"/>
                      <w:szCs w:val="21"/>
                    </w:rPr>
                  </w:pPr>
                  <w:r>
                    <w:rPr>
                      <w:rFonts w:ascii="Times New Roman" w:hAnsi="Times New Roman"/>
                      <w:b/>
                      <w:color w:val="000000" w:themeColor="text1"/>
                      <w:szCs w:val="21"/>
                    </w:rPr>
                    <w:t>规模</w:t>
                  </w:r>
                </w:p>
              </w:tc>
              <w:tc>
                <w:tcPr>
                  <w:tcW w:w="2884" w:type="dxa"/>
                  <w:vAlign w:val="center"/>
                </w:tcPr>
                <w:p>
                  <w:pPr>
                    <w:jc w:val="center"/>
                    <w:rPr>
                      <w:rFonts w:ascii="Times New Roman" w:hAnsi="Times New Roman"/>
                      <w:b/>
                      <w:color w:val="000000" w:themeColor="text1"/>
                      <w:szCs w:val="21"/>
                    </w:rPr>
                  </w:pPr>
                  <w:r>
                    <w:rPr>
                      <w:rFonts w:ascii="Times New Roman" w:hAnsi="Times New Roman"/>
                      <w:b/>
                      <w:color w:val="000000" w:themeColor="text1"/>
                      <w:szCs w:val="21"/>
                    </w:rPr>
                    <w:t>保护级别</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1239"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大气环境</w:t>
                  </w:r>
                </w:p>
                <w:p>
                  <w:pPr>
                    <w:jc w:val="center"/>
                    <w:rPr>
                      <w:rFonts w:ascii="Times New Roman" w:hAnsi="Times New Roman"/>
                      <w:color w:val="000000" w:themeColor="text1"/>
                      <w:szCs w:val="21"/>
                    </w:rPr>
                  </w:pPr>
                  <w:r>
                    <w:rPr>
                      <w:rFonts w:ascii="Times New Roman" w:hAnsi="Times New Roman"/>
                      <w:color w:val="000000" w:themeColor="text1"/>
                      <w:szCs w:val="21"/>
                    </w:rPr>
                    <w:t>声环境</w:t>
                  </w:r>
                </w:p>
              </w:tc>
              <w:tc>
                <w:tcPr>
                  <w:tcW w:w="1554"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846"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987"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983"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2884"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《环境空气质量标准》（GB3095-2012）二级标准</w:t>
                  </w:r>
                </w:p>
                <w:p>
                  <w:pPr>
                    <w:jc w:val="center"/>
                    <w:rPr>
                      <w:rFonts w:ascii="Times New Roman" w:hAnsi="Times New Roman"/>
                      <w:color w:val="000000" w:themeColor="text1"/>
                      <w:szCs w:val="21"/>
                    </w:rPr>
                  </w:pPr>
                  <w:r>
                    <w:rPr>
                      <w:rFonts w:ascii="Times New Roman" w:hAnsi="Times New Roman"/>
                      <w:color w:val="000000" w:themeColor="text1"/>
                      <w:szCs w:val="21"/>
                    </w:rPr>
                    <w:t>《声环境质量标准》（GB3096-2008）的</w:t>
                  </w:r>
                  <w:r>
                    <w:rPr>
                      <w:rFonts w:hint="eastAsia" w:ascii="Times New Roman" w:hAnsi="Times New Roman"/>
                      <w:color w:val="000000" w:themeColor="text1"/>
                      <w:szCs w:val="21"/>
                    </w:rPr>
                    <w:t>2</w:t>
                  </w:r>
                  <w:r>
                    <w:rPr>
                      <w:rFonts w:ascii="Times New Roman" w:hAnsi="Times New Roman"/>
                      <w:color w:val="000000" w:themeColor="text1"/>
                      <w:szCs w:val="21"/>
                    </w:rPr>
                    <w:t>类标准</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1239"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水环境</w:t>
                  </w:r>
                </w:p>
              </w:tc>
              <w:tc>
                <w:tcPr>
                  <w:tcW w:w="1554"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品清湖</w:t>
                  </w:r>
                </w:p>
              </w:tc>
              <w:tc>
                <w:tcPr>
                  <w:tcW w:w="846"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西北面</w:t>
                  </w:r>
                </w:p>
              </w:tc>
              <w:tc>
                <w:tcPr>
                  <w:tcW w:w="987"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约3791米</w:t>
                  </w:r>
                </w:p>
              </w:tc>
              <w:tc>
                <w:tcPr>
                  <w:tcW w:w="983"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w:t>
                  </w:r>
                </w:p>
              </w:tc>
              <w:tc>
                <w:tcPr>
                  <w:tcW w:w="2884" w:type="dxa"/>
                  <w:vAlign w:val="center"/>
                </w:tcPr>
                <w:p>
                  <w:pPr>
                    <w:jc w:val="center"/>
                    <w:rPr>
                      <w:rFonts w:ascii="Times New Roman" w:hAnsi="Times New Roman"/>
                      <w:bCs/>
                      <w:color w:val="000000" w:themeColor="text1"/>
                      <w:spacing w:val="-6"/>
                      <w:szCs w:val="21"/>
                    </w:rPr>
                  </w:pPr>
                  <w:r>
                    <w:rPr>
                      <w:rFonts w:ascii="Times New Roman" w:hAnsi="Times New Roman"/>
                      <w:bCs/>
                      <w:color w:val="000000" w:themeColor="text1"/>
                      <w:spacing w:val="-6"/>
                      <w:szCs w:val="21"/>
                    </w:rPr>
                    <w:t>《海水水质标准》（GB3097-1997）第</w:t>
                  </w:r>
                  <w:r>
                    <w:rPr>
                      <w:rFonts w:hint="eastAsia" w:ascii="Times New Roman" w:hAnsi="Times New Roman"/>
                      <w:bCs/>
                      <w:color w:val="000000" w:themeColor="text1"/>
                      <w:spacing w:val="-6"/>
                      <w:szCs w:val="21"/>
                    </w:rPr>
                    <w:t>二</w:t>
                  </w:r>
                  <w:r>
                    <w:rPr>
                      <w:rFonts w:ascii="Times New Roman" w:hAnsi="Times New Roman"/>
                      <w:bCs/>
                      <w:color w:val="000000" w:themeColor="text1"/>
                      <w:spacing w:val="-6"/>
                      <w:szCs w:val="21"/>
                    </w:rPr>
                    <w:t>类标准</w:t>
                  </w:r>
                </w:p>
              </w:tc>
            </w:tr>
          </w:tbl>
          <w:p>
            <w:pPr>
              <w:pStyle w:val="8"/>
              <w:adjustRightInd w:val="0"/>
              <w:snapToGrid w:val="0"/>
              <w:spacing w:line="360" w:lineRule="auto"/>
              <w:jc w:val="both"/>
              <w:rPr>
                <w:rFonts w:hAnsi="宋体" w:eastAsia="宋体"/>
                <w:b/>
                <w:snapToGrid w:val="0"/>
                <w:color w:val="FF0000"/>
                <w:kern w:val="0"/>
              </w:rPr>
            </w:pPr>
            <w:r>
              <w:rPr>
                <w:rFonts w:hint="eastAsia" w:hAnsi="宋体" w:eastAsia="宋体"/>
                <w:b/>
                <w:snapToGrid w:val="0"/>
                <w:color w:val="FF0000"/>
                <w:kern w:val="0"/>
              </w:rPr>
              <w:t xml:space="preserve">             </w:t>
            </w:r>
          </w:p>
          <w:p>
            <w:pPr>
              <w:pStyle w:val="8"/>
              <w:adjustRightInd w:val="0"/>
              <w:snapToGrid w:val="0"/>
              <w:spacing w:line="360" w:lineRule="auto"/>
              <w:jc w:val="both"/>
              <w:rPr>
                <w:rFonts w:hAnsi="宋体" w:eastAsia="宋体"/>
                <w:b/>
                <w:snapToGrid w:val="0"/>
                <w:color w:val="FF0000"/>
                <w:kern w:val="0"/>
              </w:rPr>
            </w:pPr>
          </w:p>
        </w:tc>
      </w:tr>
    </w:tbl>
    <w:p>
      <w:pPr>
        <w:pStyle w:val="2"/>
        <w:tabs>
          <w:tab w:val="left" w:pos="840"/>
        </w:tabs>
        <w:jc w:val="both"/>
        <w:rPr>
          <w:rFonts w:ascii="Times New Roman" w:hAnsi="Times New Roman"/>
          <w:color w:val="000000" w:themeColor="text1"/>
        </w:rPr>
      </w:pPr>
      <w:bookmarkStart w:id="7" w:name="_Toc240863953"/>
      <w:bookmarkStart w:id="8" w:name="_Toc236472098"/>
      <w:r>
        <w:rPr>
          <w:rFonts w:ascii="Times New Roman" w:hAnsi="宋体"/>
          <w:b/>
          <w:color w:val="000000" w:themeColor="text1"/>
          <w:sz w:val="28"/>
        </w:rPr>
        <w:t>评价适用标准</w:t>
      </w:r>
      <w:bookmarkEnd w:id="7"/>
      <w:bookmarkEnd w:id="8"/>
    </w:p>
    <w:tbl>
      <w:tblPr>
        <w:tblStyle w:val="27"/>
        <w:tblW w:w="872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7"/>
        <w:gridCol w:w="82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6" w:hRule="atLeast"/>
          <w:jc w:val="center"/>
        </w:trPr>
        <w:tc>
          <w:tcPr>
            <w:tcW w:w="497" w:type="dxa"/>
            <w:tcBorders>
              <w:bottom w:val="single" w:color="auto" w:sz="4" w:space="0"/>
            </w:tcBorders>
            <w:vAlign w:val="center"/>
          </w:tcPr>
          <w:p>
            <w:pPr>
              <w:jc w:val="center"/>
              <w:rPr>
                <w:rFonts w:ascii="Times New Roman" w:hAnsi="Times New Roman"/>
                <w:b/>
                <w:color w:val="000000" w:themeColor="text1"/>
                <w:sz w:val="24"/>
                <w:szCs w:val="24"/>
              </w:rPr>
            </w:pPr>
            <w:bookmarkStart w:id="9" w:name="_Toc236472099"/>
            <w:bookmarkStart w:id="10" w:name="_Toc240863954"/>
            <w:r>
              <w:rPr>
                <w:rFonts w:ascii="Times New Roman" w:hAnsi="宋体"/>
                <w:b/>
                <w:color w:val="000000" w:themeColor="text1"/>
                <w:sz w:val="24"/>
                <w:szCs w:val="24"/>
              </w:rPr>
              <w:t>环</w:t>
            </w:r>
          </w:p>
          <w:p>
            <w:pPr>
              <w:jc w:val="center"/>
              <w:rPr>
                <w:rFonts w:ascii="Times New Roman" w:hAnsi="Times New Roman"/>
                <w:b/>
                <w:color w:val="000000" w:themeColor="text1"/>
                <w:sz w:val="24"/>
                <w:szCs w:val="24"/>
              </w:rPr>
            </w:pPr>
            <w:r>
              <w:rPr>
                <w:rFonts w:ascii="Times New Roman" w:hAnsi="宋体"/>
                <w:b/>
                <w:color w:val="000000" w:themeColor="text1"/>
                <w:sz w:val="24"/>
                <w:szCs w:val="24"/>
              </w:rPr>
              <w:t>境</w:t>
            </w:r>
          </w:p>
          <w:p>
            <w:pPr>
              <w:jc w:val="center"/>
              <w:rPr>
                <w:rFonts w:ascii="Times New Roman" w:hAnsi="Times New Roman"/>
                <w:b/>
                <w:color w:val="000000" w:themeColor="text1"/>
                <w:sz w:val="24"/>
                <w:szCs w:val="24"/>
              </w:rPr>
            </w:pPr>
            <w:r>
              <w:rPr>
                <w:rFonts w:ascii="Times New Roman" w:hAnsi="宋体"/>
                <w:b/>
                <w:color w:val="000000" w:themeColor="text1"/>
                <w:sz w:val="24"/>
                <w:szCs w:val="24"/>
              </w:rPr>
              <w:t>质</w:t>
            </w:r>
          </w:p>
          <w:p>
            <w:pPr>
              <w:jc w:val="center"/>
              <w:rPr>
                <w:rFonts w:ascii="Times New Roman" w:hAnsi="Times New Roman"/>
                <w:b/>
                <w:color w:val="000000" w:themeColor="text1"/>
                <w:sz w:val="24"/>
                <w:szCs w:val="24"/>
              </w:rPr>
            </w:pPr>
            <w:r>
              <w:rPr>
                <w:rFonts w:ascii="Times New Roman" w:hAnsi="宋体"/>
                <w:b/>
                <w:color w:val="000000" w:themeColor="text1"/>
                <w:sz w:val="24"/>
                <w:szCs w:val="24"/>
              </w:rPr>
              <w:t>量标</w:t>
            </w:r>
          </w:p>
          <w:p>
            <w:pPr>
              <w:jc w:val="center"/>
              <w:rPr>
                <w:rFonts w:ascii="Times New Roman" w:hAnsi="Times New Roman"/>
                <w:b/>
                <w:color w:val="000000" w:themeColor="text1"/>
                <w:sz w:val="28"/>
              </w:rPr>
            </w:pPr>
            <w:r>
              <w:rPr>
                <w:rFonts w:ascii="Times New Roman" w:hAnsi="宋体"/>
                <w:b/>
                <w:color w:val="000000" w:themeColor="text1"/>
                <w:sz w:val="24"/>
                <w:szCs w:val="24"/>
              </w:rPr>
              <w:t>准</w:t>
            </w:r>
          </w:p>
        </w:tc>
        <w:tc>
          <w:tcPr>
            <w:tcW w:w="8232" w:type="dxa"/>
            <w:tcBorders>
              <w:bottom w:val="single" w:color="auto" w:sz="4" w:space="0"/>
            </w:tcBorders>
          </w:tcPr>
          <w:p>
            <w:pPr>
              <w:snapToGrid w:val="0"/>
              <w:spacing w:line="360" w:lineRule="auto"/>
              <w:ind w:firstLine="480" w:firstLineChars="200"/>
              <w:rPr>
                <w:rFonts w:ascii="Times New Roman" w:hAnsi="Times New Roman"/>
                <w:color w:val="000000" w:themeColor="text1"/>
                <w:kern w:val="0"/>
                <w:sz w:val="24"/>
                <w:szCs w:val="24"/>
              </w:rPr>
            </w:pPr>
          </w:p>
          <w:p>
            <w:pPr>
              <w:snapToGrid w:val="0"/>
              <w:spacing w:line="360" w:lineRule="auto"/>
              <w:ind w:firstLine="480" w:firstLineChars="200"/>
              <w:rPr>
                <w:rFonts w:ascii="Times New Roman" w:hAnsi="Times New Roman"/>
                <w:bCs/>
                <w:color w:val="000000" w:themeColor="text1"/>
                <w:sz w:val="24"/>
              </w:rPr>
            </w:pPr>
            <w:r>
              <w:rPr>
                <w:rFonts w:hint="eastAsia" w:ascii="Times New Roman" w:hAnsi="Times New Roman"/>
                <w:color w:val="000000" w:themeColor="text1"/>
                <w:kern w:val="0"/>
                <w:sz w:val="24"/>
                <w:szCs w:val="24"/>
              </w:rPr>
              <w:t>执行《海洋水质标准》（GB3097-1997）中第二类海水水质标准</w:t>
            </w:r>
            <w:r>
              <w:rPr>
                <w:rFonts w:ascii="Times New Roman" w:hAnsi="宋体"/>
                <w:bCs/>
                <w:color w:val="000000" w:themeColor="text1"/>
                <w:sz w:val="24"/>
              </w:rPr>
              <w:t>；</w:t>
            </w:r>
          </w:p>
          <w:p>
            <w:pPr>
              <w:snapToGrid w:val="0"/>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执行《环境空气质量标准》（</w:t>
            </w:r>
            <w:r>
              <w:rPr>
                <w:rFonts w:ascii="Times New Roman" w:hAnsi="Times New Roman"/>
                <w:color w:val="000000" w:themeColor="text1"/>
                <w:sz w:val="24"/>
                <w:szCs w:val="24"/>
              </w:rPr>
              <w:t>GB3095-2012</w:t>
            </w:r>
            <w:r>
              <w:rPr>
                <w:rFonts w:ascii="Times New Roman" w:hAnsi="宋体"/>
                <w:color w:val="000000" w:themeColor="text1"/>
                <w:sz w:val="24"/>
                <w:szCs w:val="24"/>
              </w:rPr>
              <w:t>）中的二级标准；</w:t>
            </w:r>
          </w:p>
          <w:p>
            <w:pPr>
              <w:widowControl/>
              <w:spacing w:line="360" w:lineRule="auto"/>
              <w:ind w:firstLine="480" w:firstLineChars="200"/>
              <w:jc w:val="left"/>
              <w:rPr>
                <w:rFonts w:ascii="Times New Roman" w:hAnsi="Times New Roman"/>
                <w:color w:val="000000" w:themeColor="text1"/>
                <w:sz w:val="28"/>
                <w:highlight w:val="yellow"/>
              </w:rPr>
            </w:pPr>
            <w:r>
              <w:rPr>
                <w:rFonts w:ascii="Times New Roman" w:hAnsi="宋体"/>
                <w:color w:val="000000" w:themeColor="text1"/>
                <w:sz w:val="24"/>
                <w:szCs w:val="24"/>
              </w:rPr>
              <w:t>执行《声环境质量标准》（</w:t>
            </w:r>
            <w:r>
              <w:rPr>
                <w:rFonts w:ascii="Times New Roman" w:hAnsi="Times New Roman"/>
                <w:color w:val="000000" w:themeColor="text1"/>
                <w:sz w:val="24"/>
                <w:szCs w:val="24"/>
              </w:rPr>
              <w:t>GB3096-2008</w:t>
            </w:r>
            <w:r>
              <w:rPr>
                <w:rFonts w:ascii="Times New Roman" w:hAnsi="宋体"/>
                <w:color w:val="000000" w:themeColor="text1"/>
                <w:sz w:val="24"/>
                <w:szCs w:val="24"/>
              </w:rPr>
              <w:t>）中的</w:t>
            </w:r>
            <w:r>
              <w:rPr>
                <w:rFonts w:ascii="Times New Roman" w:hAnsi="Times New Roman"/>
                <w:color w:val="000000" w:themeColor="text1"/>
                <w:sz w:val="24"/>
                <w:szCs w:val="24"/>
              </w:rPr>
              <w:t>2</w:t>
            </w:r>
            <w:r>
              <w:rPr>
                <w:rFonts w:ascii="Times New Roman" w:hAnsi="宋体"/>
                <w:color w:val="000000" w:themeColor="text1"/>
                <w:sz w:val="24"/>
                <w:szCs w:val="24"/>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84" w:hRule="atLeast"/>
          <w:jc w:val="center"/>
        </w:trPr>
        <w:tc>
          <w:tcPr>
            <w:tcW w:w="497" w:type="dxa"/>
            <w:tcBorders>
              <w:top w:val="single" w:color="auto" w:sz="4" w:space="0"/>
              <w:bottom w:val="single" w:color="auto" w:sz="12" w:space="0"/>
            </w:tcBorders>
            <w:vAlign w:val="center"/>
          </w:tcPr>
          <w:p>
            <w:pPr>
              <w:spacing w:line="360" w:lineRule="auto"/>
              <w:jc w:val="center"/>
              <w:rPr>
                <w:rFonts w:ascii="Times New Roman" w:hAnsi="Times New Roman"/>
                <w:b/>
                <w:color w:val="000000" w:themeColor="text1"/>
                <w:sz w:val="24"/>
                <w:szCs w:val="24"/>
              </w:rPr>
            </w:pPr>
            <w:r>
              <w:rPr>
                <w:rFonts w:ascii="Times New Roman" w:hAnsi="宋体"/>
                <w:b/>
                <w:color w:val="000000" w:themeColor="text1"/>
                <w:sz w:val="24"/>
                <w:szCs w:val="24"/>
              </w:rPr>
              <w:t>污</w:t>
            </w:r>
          </w:p>
          <w:p>
            <w:pPr>
              <w:spacing w:line="360" w:lineRule="auto"/>
              <w:jc w:val="center"/>
              <w:rPr>
                <w:rFonts w:ascii="Times New Roman" w:hAnsi="Times New Roman"/>
                <w:b/>
                <w:color w:val="000000" w:themeColor="text1"/>
                <w:sz w:val="24"/>
                <w:szCs w:val="24"/>
              </w:rPr>
            </w:pPr>
            <w:r>
              <w:rPr>
                <w:rFonts w:ascii="Times New Roman" w:hAnsi="宋体"/>
                <w:b/>
                <w:color w:val="000000" w:themeColor="text1"/>
                <w:sz w:val="24"/>
                <w:szCs w:val="24"/>
              </w:rPr>
              <w:t>染</w:t>
            </w:r>
          </w:p>
          <w:p>
            <w:pPr>
              <w:spacing w:line="360" w:lineRule="auto"/>
              <w:jc w:val="center"/>
              <w:rPr>
                <w:rFonts w:ascii="Times New Roman" w:hAnsi="Times New Roman"/>
                <w:b/>
                <w:color w:val="000000" w:themeColor="text1"/>
                <w:sz w:val="24"/>
                <w:szCs w:val="24"/>
              </w:rPr>
            </w:pPr>
            <w:r>
              <w:rPr>
                <w:rFonts w:ascii="Times New Roman" w:hAnsi="宋体"/>
                <w:b/>
                <w:color w:val="000000" w:themeColor="text1"/>
                <w:sz w:val="24"/>
                <w:szCs w:val="24"/>
              </w:rPr>
              <w:t>物</w:t>
            </w:r>
          </w:p>
          <w:p>
            <w:pPr>
              <w:spacing w:line="360" w:lineRule="auto"/>
              <w:jc w:val="center"/>
              <w:rPr>
                <w:rFonts w:ascii="Times New Roman" w:hAnsi="Times New Roman"/>
                <w:b/>
                <w:color w:val="000000" w:themeColor="text1"/>
                <w:sz w:val="24"/>
                <w:szCs w:val="24"/>
              </w:rPr>
            </w:pPr>
            <w:r>
              <w:rPr>
                <w:rFonts w:ascii="Times New Roman" w:hAnsi="宋体"/>
                <w:b/>
                <w:color w:val="000000" w:themeColor="text1"/>
                <w:sz w:val="24"/>
                <w:szCs w:val="24"/>
              </w:rPr>
              <w:t>排</w:t>
            </w:r>
          </w:p>
          <w:p>
            <w:pPr>
              <w:spacing w:line="360" w:lineRule="auto"/>
              <w:jc w:val="center"/>
              <w:rPr>
                <w:rFonts w:ascii="Times New Roman" w:hAnsi="Times New Roman"/>
                <w:b/>
                <w:color w:val="000000" w:themeColor="text1"/>
                <w:sz w:val="24"/>
                <w:szCs w:val="24"/>
              </w:rPr>
            </w:pPr>
            <w:r>
              <w:rPr>
                <w:rFonts w:ascii="Times New Roman" w:hAnsi="宋体"/>
                <w:b/>
                <w:color w:val="000000" w:themeColor="text1"/>
                <w:sz w:val="24"/>
                <w:szCs w:val="24"/>
              </w:rPr>
              <w:t>放</w:t>
            </w:r>
          </w:p>
          <w:p>
            <w:pPr>
              <w:spacing w:line="360" w:lineRule="auto"/>
              <w:jc w:val="center"/>
              <w:rPr>
                <w:rFonts w:ascii="Times New Roman" w:hAnsi="Times New Roman"/>
                <w:b/>
                <w:color w:val="000000" w:themeColor="text1"/>
                <w:sz w:val="24"/>
                <w:szCs w:val="24"/>
              </w:rPr>
            </w:pPr>
            <w:r>
              <w:rPr>
                <w:rFonts w:ascii="Times New Roman" w:hAnsi="宋体"/>
                <w:b/>
                <w:color w:val="000000" w:themeColor="text1"/>
                <w:sz w:val="24"/>
                <w:szCs w:val="24"/>
              </w:rPr>
              <w:t>标</w:t>
            </w:r>
          </w:p>
          <w:p>
            <w:pPr>
              <w:rPr>
                <w:rFonts w:ascii="Times New Roman" w:hAnsi="Times New Roman"/>
                <w:b/>
                <w:color w:val="FF0000"/>
                <w:sz w:val="28"/>
              </w:rPr>
            </w:pPr>
            <w:r>
              <w:rPr>
                <w:rFonts w:ascii="Times New Roman" w:hAnsi="宋体"/>
                <w:b/>
                <w:color w:val="000000" w:themeColor="text1"/>
                <w:sz w:val="24"/>
                <w:szCs w:val="24"/>
              </w:rPr>
              <w:t>准</w:t>
            </w:r>
          </w:p>
        </w:tc>
        <w:tc>
          <w:tcPr>
            <w:tcW w:w="8232" w:type="dxa"/>
            <w:tcBorders>
              <w:top w:val="single" w:color="auto" w:sz="4" w:space="0"/>
              <w:bottom w:val="single" w:color="auto" w:sz="12" w:space="0"/>
            </w:tcBorders>
          </w:tcPr>
          <w:p>
            <w:pPr>
              <w:pStyle w:val="85"/>
              <w:spacing w:line="331" w:lineRule="auto"/>
              <w:ind w:firstLine="0" w:firstLineChars="0"/>
              <w:rPr>
                <w:rFonts w:ascii="Times New Roman" w:hAnsi="Times New Roman" w:eastAsia="宋体"/>
                <w:b/>
                <w:color w:val="000000" w:themeColor="text1"/>
              </w:rPr>
            </w:pPr>
            <w:r>
              <w:rPr>
                <w:rFonts w:ascii="Times New Roman" w:hAnsi="宋体" w:eastAsia="宋体"/>
                <w:b/>
                <w:color w:val="000000" w:themeColor="text1"/>
              </w:rPr>
              <w:t>一、废水</w:t>
            </w:r>
          </w:p>
          <w:p>
            <w:pPr>
              <w:pStyle w:val="85"/>
              <w:ind w:firstLine="480" w:firstLineChars="200"/>
              <w:rPr>
                <w:rFonts w:ascii="Times New Roman" w:hAnsi="Times New Roman" w:eastAsia="宋体"/>
                <w:color w:val="000000" w:themeColor="text1"/>
              </w:rPr>
            </w:pPr>
            <w:r>
              <w:rPr>
                <w:rFonts w:ascii="Times New Roman" w:hAnsi="宋体" w:eastAsia="宋体"/>
                <w:color w:val="000000" w:themeColor="text1"/>
              </w:rPr>
              <w:t>水污染物排放执行</w:t>
            </w:r>
            <w:r>
              <w:rPr>
                <w:rFonts w:hint="eastAsia" w:ascii="Times New Roman" w:hAnsi="宋体" w:eastAsia="宋体"/>
                <w:color w:val="000000" w:themeColor="text1"/>
              </w:rPr>
              <w:t>《农田灌溉水质标准》（GB5084-2005）中相应标准</w:t>
            </w:r>
            <w:r>
              <w:rPr>
                <w:rFonts w:ascii="Times New Roman" w:hAnsi="宋体" w:eastAsia="宋体"/>
                <w:color w:val="000000" w:themeColor="text1"/>
              </w:rPr>
              <w:t>；</w:t>
            </w:r>
          </w:p>
          <w:p>
            <w:pPr>
              <w:pStyle w:val="85"/>
              <w:tabs>
                <w:tab w:val="left" w:pos="3150"/>
              </w:tabs>
              <w:spacing w:line="331" w:lineRule="auto"/>
              <w:ind w:firstLine="0" w:firstLineChars="0"/>
              <w:rPr>
                <w:rFonts w:ascii="Times New Roman" w:hAnsi="Times New Roman" w:eastAsia="宋体"/>
                <w:b/>
                <w:color w:val="000000" w:themeColor="text1"/>
              </w:rPr>
            </w:pPr>
            <w:r>
              <w:rPr>
                <w:rFonts w:ascii="Times New Roman" w:hAnsi="宋体" w:eastAsia="宋体"/>
                <w:b/>
                <w:color w:val="000000" w:themeColor="text1"/>
              </w:rPr>
              <w:t>二、废气</w:t>
            </w:r>
            <w:r>
              <w:rPr>
                <w:rFonts w:ascii="Times New Roman" w:hAnsi="宋体" w:eastAsia="宋体"/>
                <w:b/>
                <w:color w:val="000000" w:themeColor="text1"/>
              </w:rPr>
              <w:tab/>
            </w:r>
          </w:p>
          <w:p>
            <w:pPr>
              <w:snapToGrid w:val="0"/>
              <w:spacing w:line="360" w:lineRule="auto"/>
              <w:ind w:firstLine="480" w:firstLineChars="200"/>
              <w:rPr>
                <w:rFonts w:ascii="Times New Roman" w:hAnsi="宋体"/>
                <w:color w:val="000000" w:themeColor="text1"/>
                <w:sz w:val="24"/>
                <w:szCs w:val="24"/>
              </w:rPr>
            </w:pPr>
            <w:r>
              <w:rPr>
                <w:rFonts w:hint="eastAsia" w:ascii="Times New Roman" w:hAnsi="宋体"/>
                <w:color w:val="000000" w:themeColor="text1"/>
                <w:sz w:val="24"/>
                <w:szCs w:val="24"/>
              </w:rPr>
              <w:t>执行《水泥工业大气污染物排放标准》（GB 4915－2013）水泥制品生产颗粒物排放浓度限值和厂界无组织排放限值；厨房油烟排放执行国家《饮食业油烟排放标准（试行）》（GB18483-2001）中的小型标准；</w:t>
            </w:r>
            <w:r>
              <w:rPr>
                <w:rFonts w:ascii="Times New Roman" w:hAnsi="宋体"/>
                <w:color w:val="000000" w:themeColor="text1"/>
                <w:sz w:val="24"/>
                <w:szCs w:val="24"/>
              </w:rPr>
              <w:t>发电机废气排放标准依据为国家环保总局《关于执行大气污染物排放标准有关问题的复函》（</w:t>
            </w:r>
            <w:r>
              <w:rPr>
                <w:rFonts w:ascii="Times New Roman" w:hAnsi="Times New Roman"/>
                <w:color w:val="000000" w:themeColor="text1"/>
                <w:sz w:val="24"/>
                <w:szCs w:val="24"/>
              </w:rPr>
              <w:t>2000.12.29</w:t>
            </w:r>
            <w:r>
              <w:rPr>
                <w:rFonts w:ascii="Times New Roman" w:hAnsi="宋体"/>
                <w:color w:val="000000" w:themeColor="text1"/>
                <w:sz w:val="24"/>
                <w:szCs w:val="24"/>
              </w:rPr>
              <w:t>）以及《关于柴油发电机排气执行标准的复函》（环函</w:t>
            </w:r>
            <w:r>
              <w:rPr>
                <w:rFonts w:ascii="Times New Roman" w:hAnsi="Times New Roman"/>
                <w:color w:val="000000" w:themeColor="text1"/>
                <w:sz w:val="24"/>
                <w:szCs w:val="24"/>
              </w:rPr>
              <w:t>[2005]350</w:t>
            </w:r>
            <w:r>
              <w:rPr>
                <w:rFonts w:ascii="Times New Roman" w:hAnsi="宋体"/>
                <w:color w:val="000000" w:themeColor="text1"/>
                <w:sz w:val="24"/>
                <w:szCs w:val="24"/>
              </w:rPr>
              <w:t>号）内容，同时，地方标准严于国家标准，本报告参考《大气污染物排放限值》（</w:t>
            </w:r>
            <w:r>
              <w:rPr>
                <w:rFonts w:ascii="Times New Roman" w:hAnsi="Times New Roman"/>
                <w:color w:val="000000" w:themeColor="text1"/>
                <w:sz w:val="24"/>
                <w:szCs w:val="24"/>
              </w:rPr>
              <w:t>DB44/27-2001</w:t>
            </w:r>
            <w:r>
              <w:rPr>
                <w:rFonts w:ascii="Times New Roman" w:hAnsi="宋体"/>
                <w:color w:val="000000" w:themeColor="text1"/>
                <w:sz w:val="24"/>
                <w:szCs w:val="24"/>
              </w:rPr>
              <w:t>）</w:t>
            </w:r>
            <w:r>
              <w:rPr>
                <w:rFonts w:ascii="Times New Roman" w:hAnsi="Times New Roman"/>
                <w:color w:val="000000" w:themeColor="text1"/>
                <w:sz w:val="24"/>
                <w:szCs w:val="24"/>
              </w:rPr>
              <w:t>“</w:t>
            </w:r>
            <w:r>
              <w:rPr>
                <w:rFonts w:ascii="Times New Roman" w:hAnsi="宋体"/>
                <w:color w:val="000000" w:themeColor="text1"/>
                <w:sz w:val="24"/>
                <w:szCs w:val="24"/>
              </w:rPr>
              <w:t>表</w:t>
            </w:r>
            <w:r>
              <w:rPr>
                <w:rFonts w:ascii="Times New Roman" w:hAnsi="Times New Roman"/>
                <w:color w:val="000000" w:themeColor="text1"/>
                <w:sz w:val="24"/>
                <w:szCs w:val="24"/>
              </w:rPr>
              <w:t xml:space="preserve">2 </w:t>
            </w:r>
            <w:r>
              <w:rPr>
                <w:rFonts w:ascii="Times New Roman" w:hAnsi="宋体"/>
                <w:color w:val="000000" w:themeColor="text1"/>
                <w:sz w:val="24"/>
                <w:szCs w:val="24"/>
              </w:rPr>
              <w:t>工艺废气大气污染物排放限值</w:t>
            </w:r>
            <w:r>
              <w:rPr>
                <w:rFonts w:ascii="Times New Roman" w:hAnsi="Times New Roman"/>
                <w:color w:val="000000" w:themeColor="text1"/>
                <w:sz w:val="24"/>
                <w:szCs w:val="24"/>
              </w:rPr>
              <w:t>”</w:t>
            </w:r>
            <w:r>
              <w:rPr>
                <w:rFonts w:ascii="Times New Roman" w:hAnsi="宋体"/>
                <w:color w:val="000000" w:themeColor="text1"/>
                <w:sz w:val="24"/>
                <w:szCs w:val="24"/>
              </w:rPr>
              <w:t>，对于烟气黑度，按林格曼黑度</w:t>
            </w:r>
            <w:r>
              <w:rPr>
                <w:rFonts w:ascii="Times New Roman" w:hAnsi="Times New Roman"/>
                <w:color w:val="000000" w:themeColor="text1"/>
                <w:sz w:val="24"/>
                <w:szCs w:val="24"/>
              </w:rPr>
              <w:t>1</w:t>
            </w:r>
            <w:r>
              <w:rPr>
                <w:rFonts w:ascii="Times New Roman" w:hAnsi="宋体"/>
                <w:color w:val="000000" w:themeColor="text1"/>
                <w:sz w:val="24"/>
                <w:szCs w:val="24"/>
              </w:rPr>
              <w:t>级执行</w:t>
            </w:r>
            <w:r>
              <w:rPr>
                <w:rFonts w:hint="eastAsia" w:ascii="Times New Roman" w:hAnsi="宋体"/>
                <w:color w:val="000000" w:themeColor="text1"/>
                <w:sz w:val="24"/>
                <w:szCs w:val="24"/>
              </w:rPr>
              <w:t>。</w:t>
            </w:r>
          </w:p>
          <w:p>
            <w:pPr>
              <w:pStyle w:val="85"/>
              <w:spacing w:line="331" w:lineRule="auto"/>
              <w:ind w:firstLine="0" w:firstLineChars="0"/>
              <w:rPr>
                <w:rFonts w:ascii="Times New Roman" w:hAnsi="Times New Roman" w:eastAsia="宋体"/>
                <w:b/>
                <w:color w:val="000000" w:themeColor="text1"/>
              </w:rPr>
            </w:pPr>
            <w:r>
              <w:rPr>
                <w:rFonts w:ascii="Times New Roman" w:hAnsi="宋体" w:eastAsia="宋体"/>
                <w:b/>
                <w:color w:val="000000" w:themeColor="text1"/>
              </w:rPr>
              <w:t>三、噪声</w:t>
            </w:r>
          </w:p>
          <w:p>
            <w:pPr>
              <w:adjustRightInd w:val="0"/>
              <w:snapToGrid w:val="0"/>
              <w:spacing w:line="360" w:lineRule="auto"/>
              <w:ind w:firstLine="480" w:firstLineChars="200"/>
              <w:rPr>
                <w:rFonts w:ascii="Times New Roman" w:hAnsi="Times New Roman"/>
                <w:bCs/>
                <w:color w:val="000000" w:themeColor="text1"/>
                <w:sz w:val="24"/>
                <w:szCs w:val="24"/>
              </w:rPr>
            </w:pPr>
            <w:r>
              <w:rPr>
                <w:rFonts w:ascii="Times New Roman" w:hAnsi="宋体"/>
                <w:bCs/>
                <w:color w:val="000000" w:themeColor="text1"/>
                <w:sz w:val="24"/>
                <w:szCs w:val="24"/>
              </w:rPr>
              <w:t>施工期噪声执行《</w:t>
            </w:r>
            <w:r>
              <w:rPr>
                <w:rFonts w:ascii="Times New Roman" w:hAnsi="宋体"/>
                <w:bCs/>
                <w:color w:val="000000" w:themeColor="text1"/>
                <w:spacing w:val="5"/>
                <w:sz w:val="24"/>
                <w:szCs w:val="24"/>
              </w:rPr>
              <w:t>建筑施工场界环境噪声排放标准</w:t>
            </w:r>
            <w:r>
              <w:rPr>
                <w:rFonts w:ascii="Times New Roman" w:hAnsi="宋体"/>
                <w:bCs/>
                <w:color w:val="000000" w:themeColor="text1"/>
                <w:sz w:val="24"/>
                <w:szCs w:val="24"/>
              </w:rPr>
              <w:t>》（</w:t>
            </w:r>
            <w:r>
              <w:rPr>
                <w:rFonts w:ascii="Times New Roman" w:hAnsi="Times New Roman"/>
                <w:color w:val="000000" w:themeColor="text1"/>
                <w:sz w:val="24"/>
                <w:szCs w:val="24"/>
              </w:rPr>
              <w:t>GB12523-2011</w:t>
            </w:r>
            <w:r>
              <w:rPr>
                <w:rFonts w:ascii="Times New Roman" w:hAnsi="宋体"/>
                <w:bCs/>
                <w:color w:val="000000" w:themeColor="text1"/>
                <w:sz w:val="24"/>
                <w:szCs w:val="24"/>
              </w:rPr>
              <w:t>）；运营期执行</w:t>
            </w:r>
            <w:r>
              <w:rPr>
                <w:rFonts w:hint="eastAsia" w:ascii="Times New Roman" w:hAnsi="宋体"/>
                <w:color w:val="000000" w:themeColor="text1"/>
                <w:sz w:val="24"/>
                <w:szCs w:val="24"/>
              </w:rPr>
              <w:t>《工业企业厂界环境噪声排放标准》(GB12348-2008)中的</w:t>
            </w:r>
            <w:r>
              <w:rPr>
                <w:rFonts w:ascii="Times New Roman" w:hAnsi="Times New Roman"/>
                <w:bCs/>
                <w:color w:val="000000" w:themeColor="text1"/>
                <w:sz w:val="24"/>
                <w:szCs w:val="24"/>
              </w:rPr>
              <w:t>2</w:t>
            </w:r>
            <w:r>
              <w:rPr>
                <w:rFonts w:ascii="Times New Roman" w:hAnsi="宋体"/>
                <w:bCs/>
                <w:color w:val="000000" w:themeColor="text1"/>
                <w:sz w:val="24"/>
                <w:szCs w:val="24"/>
              </w:rPr>
              <w:t>类标准。</w:t>
            </w:r>
          </w:p>
          <w:p>
            <w:pPr>
              <w:spacing w:line="360" w:lineRule="auto"/>
              <w:ind w:firstLine="480" w:firstLineChars="200"/>
              <w:jc w:val="left"/>
              <w:rPr>
                <w:rFonts w:ascii="Times New Roman" w:hAnsi="Times New Roman"/>
                <w:color w:val="FF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7" w:type="dxa"/>
            <w:tcBorders>
              <w:top w:val="single" w:color="auto" w:sz="12" w:space="0"/>
              <w:bottom w:val="single" w:color="auto" w:sz="12" w:space="0"/>
            </w:tcBorders>
            <w:vAlign w:val="center"/>
          </w:tcPr>
          <w:p>
            <w:pPr>
              <w:jc w:val="center"/>
              <w:rPr>
                <w:rFonts w:ascii="Times New Roman" w:hAnsi="Times New Roman"/>
                <w:b/>
                <w:color w:val="000000" w:themeColor="text1"/>
                <w:sz w:val="24"/>
                <w:szCs w:val="24"/>
              </w:rPr>
            </w:pPr>
            <w:r>
              <w:rPr>
                <w:rFonts w:ascii="Times New Roman" w:hAnsi="宋体"/>
                <w:b/>
                <w:color w:val="000000" w:themeColor="text1"/>
                <w:sz w:val="24"/>
                <w:szCs w:val="24"/>
              </w:rPr>
              <w:t>总</w:t>
            </w:r>
          </w:p>
          <w:p>
            <w:pPr>
              <w:jc w:val="center"/>
              <w:rPr>
                <w:rFonts w:ascii="Times New Roman" w:hAnsi="Times New Roman"/>
                <w:b/>
                <w:color w:val="000000" w:themeColor="text1"/>
                <w:sz w:val="24"/>
                <w:szCs w:val="24"/>
              </w:rPr>
            </w:pPr>
            <w:r>
              <w:rPr>
                <w:rFonts w:ascii="Times New Roman" w:hAnsi="宋体"/>
                <w:b/>
                <w:color w:val="000000" w:themeColor="text1"/>
                <w:sz w:val="24"/>
                <w:szCs w:val="24"/>
              </w:rPr>
              <w:t>量</w:t>
            </w:r>
          </w:p>
          <w:p>
            <w:pPr>
              <w:jc w:val="center"/>
              <w:rPr>
                <w:rFonts w:ascii="Times New Roman" w:hAnsi="Times New Roman"/>
                <w:b/>
                <w:color w:val="000000" w:themeColor="text1"/>
                <w:sz w:val="24"/>
                <w:szCs w:val="24"/>
              </w:rPr>
            </w:pPr>
            <w:r>
              <w:rPr>
                <w:rFonts w:ascii="Times New Roman" w:hAnsi="宋体"/>
                <w:b/>
                <w:color w:val="000000" w:themeColor="text1"/>
                <w:sz w:val="24"/>
                <w:szCs w:val="24"/>
              </w:rPr>
              <w:t>控</w:t>
            </w:r>
          </w:p>
          <w:p>
            <w:pPr>
              <w:jc w:val="center"/>
              <w:rPr>
                <w:rFonts w:ascii="Times New Roman" w:hAnsi="Times New Roman"/>
                <w:b/>
                <w:color w:val="000000" w:themeColor="text1"/>
                <w:sz w:val="24"/>
                <w:szCs w:val="24"/>
              </w:rPr>
            </w:pPr>
            <w:r>
              <w:rPr>
                <w:rFonts w:ascii="Times New Roman" w:hAnsi="宋体"/>
                <w:b/>
                <w:color w:val="000000" w:themeColor="text1"/>
                <w:sz w:val="24"/>
                <w:szCs w:val="24"/>
              </w:rPr>
              <w:t>制</w:t>
            </w:r>
          </w:p>
          <w:p>
            <w:pPr>
              <w:jc w:val="center"/>
              <w:rPr>
                <w:rFonts w:ascii="Times New Roman" w:hAnsi="Times New Roman"/>
                <w:b/>
                <w:color w:val="000000" w:themeColor="text1"/>
                <w:sz w:val="25"/>
                <w:highlight w:val="yellow"/>
              </w:rPr>
            </w:pPr>
            <w:r>
              <w:rPr>
                <w:rFonts w:ascii="Times New Roman" w:hAnsi="宋体"/>
                <w:b/>
                <w:color w:val="000000" w:themeColor="text1"/>
                <w:sz w:val="24"/>
                <w:szCs w:val="24"/>
              </w:rPr>
              <w:t>标</w:t>
            </w:r>
          </w:p>
        </w:tc>
        <w:tc>
          <w:tcPr>
            <w:tcW w:w="8232" w:type="dxa"/>
            <w:tcBorders>
              <w:top w:val="single" w:color="auto" w:sz="12" w:space="0"/>
              <w:bottom w:val="single" w:color="auto" w:sz="12" w:space="0"/>
            </w:tcBorders>
          </w:tcPr>
          <w:p>
            <w:pPr>
              <w:pStyle w:val="85"/>
              <w:spacing w:beforeLines="50"/>
              <w:ind w:firstLine="480" w:firstLineChars="200"/>
              <w:rPr>
                <w:rFonts w:ascii="Times New Roman" w:hAnsi="Times New Roman" w:eastAsiaTheme="minorEastAsia"/>
                <w:color w:val="000000" w:themeColor="text1"/>
                <w:szCs w:val="24"/>
              </w:rPr>
            </w:pPr>
            <w:r>
              <w:rPr>
                <w:rFonts w:ascii="Times New Roman" w:hAnsiTheme="minorEastAsia" w:eastAsiaTheme="minorEastAsia"/>
                <w:color w:val="000000" w:themeColor="text1"/>
                <w:szCs w:val="24"/>
              </w:rPr>
              <w:t>根据《广东省环境保护厅关于印发广东省环境保护</w:t>
            </w:r>
            <w:r>
              <w:rPr>
                <w:rFonts w:ascii="Times New Roman" w:hAnsi="Times New Roman" w:eastAsiaTheme="minorEastAsia"/>
                <w:color w:val="000000" w:themeColor="text1"/>
                <w:szCs w:val="24"/>
              </w:rPr>
              <w:t>“</w:t>
            </w:r>
            <w:r>
              <w:rPr>
                <w:rFonts w:ascii="Times New Roman" w:hAnsiTheme="minorEastAsia" w:eastAsiaTheme="minorEastAsia"/>
                <w:color w:val="000000" w:themeColor="text1"/>
                <w:szCs w:val="24"/>
              </w:rPr>
              <w:t>十三五</w:t>
            </w:r>
            <w:r>
              <w:rPr>
                <w:rFonts w:ascii="Times New Roman" w:hAnsi="Times New Roman" w:eastAsiaTheme="minorEastAsia"/>
                <w:color w:val="000000" w:themeColor="text1"/>
                <w:szCs w:val="24"/>
              </w:rPr>
              <w:t>”</w:t>
            </w:r>
            <w:r>
              <w:rPr>
                <w:rFonts w:ascii="Times New Roman" w:hAnsiTheme="minorEastAsia" w:eastAsiaTheme="minorEastAsia"/>
                <w:color w:val="000000" w:themeColor="text1"/>
                <w:szCs w:val="24"/>
              </w:rPr>
              <w:t>规划的通知》</w:t>
            </w:r>
            <w:r>
              <w:rPr>
                <w:rFonts w:ascii="Times New Roman" w:hAnsi="Times New Roman" w:eastAsiaTheme="minorEastAsia"/>
                <w:color w:val="000000" w:themeColor="text1"/>
                <w:szCs w:val="24"/>
              </w:rPr>
              <w:t>(</w:t>
            </w:r>
            <w:r>
              <w:rPr>
                <w:rFonts w:ascii="Times New Roman" w:hAnsiTheme="minorEastAsia" w:eastAsiaTheme="minorEastAsia"/>
                <w:color w:val="000000" w:themeColor="text1"/>
                <w:szCs w:val="24"/>
              </w:rPr>
              <w:t>粤环〔</w:t>
            </w:r>
            <w:r>
              <w:rPr>
                <w:rFonts w:ascii="Times New Roman" w:hAnsi="Times New Roman" w:eastAsiaTheme="minorEastAsia"/>
                <w:color w:val="000000" w:themeColor="text1"/>
                <w:szCs w:val="24"/>
              </w:rPr>
              <w:t>2016</w:t>
            </w:r>
            <w:r>
              <w:rPr>
                <w:rFonts w:ascii="Times New Roman" w:hAnsiTheme="minorEastAsia" w:eastAsiaTheme="minorEastAsia"/>
                <w:color w:val="000000" w:themeColor="text1"/>
                <w:szCs w:val="24"/>
              </w:rPr>
              <w:t>〕</w:t>
            </w:r>
            <w:r>
              <w:rPr>
                <w:rFonts w:ascii="Times New Roman" w:hAnsi="Times New Roman" w:eastAsiaTheme="minorEastAsia"/>
                <w:color w:val="000000" w:themeColor="text1"/>
                <w:szCs w:val="24"/>
              </w:rPr>
              <w:t>51</w:t>
            </w:r>
            <w:r>
              <w:rPr>
                <w:rFonts w:ascii="Times New Roman" w:hAnsiTheme="minorEastAsia" w:eastAsiaTheme="minorEastAsia"/>
                <w:color w:val="000000" w:themeColor="text1"/>
                <w:szCs w:val="24"/>
              </w:rPr>
              <w:t>号</w:t>
            </w:r>
            <w:r>
              <w:rPr>
                <w:rFonts w:ascii="Times New Roman" w:hAnsi="Times New Roman" w:eastAsiaTheme="minorEastAsia"/>
                <w:color w:val="000000" w:themeColor="text1"/>
                <w:szCs w:val="24"/>
              </w:rPr>
              <w:t>)</w:t>
            </w:r>
            <w:r>
              <w:rPr>
                <w:rFonts w:ascii="Times New Roman" w:hAnsiTheme="minorEastAsia" w:eastAsiaTheme="minorEastAsia"/>
                <w:color w:val="000000" w:themeColor="text1"/>
                <w:szCs w:val="24"/>
              </w:rPr>
              <w:t>的规定，广东省对化学需氧量（</w:t>
            </w:r>
            <w:r>
              <w:rPr>
                <w:rFonts w:ascii="Times New Roman" w:hAnsi="Times New Roman" w:eastAsiaTheme="minorEastAsia"/>
                <w:color w:val="000000" w:themeColor="text1"/>
                <w:szCs w:val="24"/>
              </w:rPr>
              <w:t>CODcr</w:t>
            </w:r>
            <w:r>
              <w:rPr>
                <w:rFonts w:ascii="Times New Roman" w:hAnsiTheme="minorEastAsia" w:eastAsiaTheme="minorEastAsia"/>
                <w:color w:val="000000" w:themeColor="text1"/>
                <w:szCs w:val="24"/>
              </w:rPr>
              <w:t>）、氨氮（</w:t>
            </w:r>
            <w:r>
              <w:rPr>
                <w:rFonts w:ascii="Times New Roman" w:hAnsi="Times New Roman" w:eastAsiaTheme="minorEastAsia"/>
                <w:color w:val="000000" w:themeColor="text1"/>
                <w:szCs w:val="24"/>
              </w:rPr>
              <w:t>NH</w:t>
            </w:r>
            <w:r>
              <w:rPr>
                <w:rFonts w:ascii="Times New Roman" w:hAnsi="Times New Roman" w:eastAsiaTheme="minorEastAsia"/>
                <w:color w:val="000000" w:themeColor="text1"/>
                <w:szCs w:val="24"/>
                <w:vertAlign w:val="subscript"/>
              </w:rPr>
              <w:t>3</w:t>
            </w:r>
            <w:r>
              <w:rPr>
                <w:rFonts w:ascii="Times New Roman" w:hAnsi="Times New Roman" w:eastAsiaTheme="minorEastAsia"/>
                <w:color w:val="000000" w:themeColor="text1"/>
                <w:szCs w:val="24"/>
              </w:rPr>
              <w:t>-N</w:t>
            </w:r>
            <w:r>
              <w:rPr>
                <w:rFonts w:ascii="Times New Roman" w:hAnsiTheme="minorEastAsia" w:eastAsiaTheme="minorEastAsia"/>
                <w:color w:val="000000" w:themeColor="text1"/>
                <w:szCs w:val="24"/>
              </w:rPr>
              <w:t>）、二氧化硫（</w:t>
            </w:r>
            <w:r>
              <w:rPr>
                <w:rFonts w:ascii="Times New Roman" w:hAnsi="Times New Roman" w:eastAsiaTheme="minorEastAsia"/>
                <w:color w:val="000000" w:themeColor="text1"/>
                <w:szCs w:val="24"/>
              </w:rPr>
              <w:t>SO</w:t>
            </w:r>
            <w:r>
              <w:rPr>
                <w:rFonts w:ascii="Times New Roman" w:hAnsi="Times New Roman" w:eastAsiaTheme="minorEastAsia"/>
                <w:color w:val="000000" w:themeColor="text1"/>
                <w:szCs w:val="24"/>
                <w:vertAlign w:val="subscript"/>
              </w:rPr>
              <w:t>2</w:t>
            </w:r>
            <w:r>
              <w:rPr>
                <w:rFonts w:ascii="Times New Roman" w:hAnsiTheme="minorEastAsia" w:eastAsiaTheme="minorEastAsia"/>
                <w:color w:val="000000" w:themeColor="text1"/>
                <w:szCs w:val="24"/>
              </w:rPr>
              <w:t>）、氮氧化物（</w:t>
            </w:r>
            <w:r>
              <w:rPr>
                <w:rFonts w:ascii="Times New Roman" w:hAnsi="Times New Roman" w:eastAsiaTheme="minorEastAsia"/>
                <w:color w:val="000000" w:themeColor="text1"/>
                <w:szCs w:val="24"/>
              </w:rPr>
              <w:t>NOx</w:t>
            </w:r>
            <w:r>
              <w:rPr>
                <w:rFonts w:ascii="Times New Roman" w:hAnsiTheme="minorEastAsia" w:eastAsiaTheme="minorEastAsia"/>
                <w:color w:val="000000" w:themeColor="text1"/>
                <w:szCs w:val="24"/>
              </w:rPr>
              <w:t>）主要污染物实行排放总量控制计划管理。</w:t>
            </w:r>
          </w:p>
          <w:p>
            <w:pPr>
              <w:pStyle w:val="85"/>
              <w:rPr>
                <w:rFonts w:ascii="Times New Roman" w:hAnsi="Times New Roman" w:eastAsiaTheme="minorEastAsia"/>
                <w:color w:val="000000" w:themeColor="text1"/>
                <w:szCs w:val="24"/>
              </w:rPr>
            </w:pPr>
            <w:r>
              <w:rPr>
                <w:rFonts w:ascii="Times New Roman" w:hAnsiTheme="minorEastAsia" w:eastAsiaTheme="minorEastAsia"/>
                <w:color w:val="000000" w:themeColor="text1"/>
                <w:szCs w:val="24"/>
              </w:rPr>
              <w:t>本项目运营期清洗废水经三级沉淀池</w:t>
            </w:r>
            <w:r>
              <w:rPr>
                <w:rFonts w:ascii="Times New Roman" w:hAnsi="Times New Roman" w:eastAsiaTheme="minorEastAsia"/>
                <w:color w:val="000000" w:themeColor="text1"/>
                <w:szCs w:val="24"/>
              </w:rPr>
              <w:t>+</w:t>
            </w:r>
            <w:r>
              <w:rPr>
                <w:rFonts w:ascii="Times New Roman" w:hAnsiTheme="minorEastAsia" w:eastAsiaTheme="minorEastAsia"/>
                <w:color w:val="000000" w:themeColor="text1"/>
                <w:szCs w:val="24"/>
              </w:rPr>
              <w:t>清水池处理后全部回用，不外排。生活污水经自建化粪池及生活污水处理装置处理达标后，用于附近农田灌溉用水，实现废水零排放。备用发电机不是经常使用的设备，仅供停电时使用，所以其影响是暂时性的。因此本项目不建议设置总量控制指标。</w:t>
            </w:r>
          </w:p>
          <w:p>
            <w:pPr>
              <w:pStyle w:val="85"/>
              <w:spacing w:beforeLines="50" w:line="240" w:lineRule="auto"/>
              <w:ind w:firstLine="0" w:firstLineChars="0"/>
              <w:rPr>
                <w:rFonts w:ascii="Times New Roman" w:hAnsi="Times New Roman" w:eastAsia="宋体"/>
                <w:color w:val="000000" w:themeColor="text1"/>
                <w:szCs w:val="24"/>
                <w:highlight w:val="yellow"/>
              </w:rPr>
            </w:pPr>
          </w:p>
        </w:tc>
      </w:tr>
    </w:tbl>
    <w:p>
      <w:pPr>
        <w:pStyle w:val="2"/>
        <w:tabs>
          <w:tab w:val="left" w:pos="840"/>
        </w:tabs>
        <w:jc w:val="both"/>
        <w:rPr>
          <w:rFonts w:ascii="Times New Roman" w:hAnsi="Times New Roman"/>
          <w:color w:val="000000" w:themeColor="text1"/>
        </w:rPr>
      </w:pPr>
      <w:r>
        <w:rPr>
          <w:rFonts w:ascii="Times New Roman" w:hAnsi="宋体"/>
          <w:b/>
          <w:color w:val="000000" w:themeColor="text1"/>
          <w:sz w:val="28"/>
        </w:rPr>
        <w:t>建设项目工程分析</w:t>
      </w:r>
      <w:bookmarkEnd w:id="9"/>
      <w:bookmarkEnd w:id="10"/>
    </w:p>
    <w:tbl>
      <w:tblPr>
        <w:tblStyle w:val="27"/>
        <w:tblW w:w="8852"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5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0404" w:hRule="atLeast"/>
          <w:jc w:val="center"/>
        </w:trPr>
        <w:tc>
          <w:tcPr>
            <w:tcW w:w="8852" w:type="dxa"/>
            <w:tcBorders>
              <w:top w:val="single" w:color="auto" w:sz="12" w:space="0"/>
              <w:left w:val="single" w:color="auto" w:sz="12" w:space="0"/>
              <w:bottom w:val="single" w:color="auto" w:sz="12" w:space="0"/>
              <w:right w:val="single" w:color="auto" w:sz="12" w:space="0"/>
            </w:tcBorders>
          </w:tcPr>
          <w:p>
            <w:pPr>
              <w:spacing w:line="540" w:lineRule="exact"/>
              <w:ind w:firstLine="472" w:firstLineChars="196"/>
              <w:rPr>
                <w:rFonts w:hAnsi="宋体"/>
                <w:b/>
                <w:sz w:val="24"/>
              </w:rPr>
            </w:pPr>
            <w:r>
              <w:rPr>
                <w:rFonts w:hint="eastAsia" w:hAnsi="宋体"/>
                <w:b/>
                <w:sz w:val="24"/>
              </w:rPr>
              <w:t>一、施工期</w:t>
            </w:r>
          </w:p>
          <w:p>
            <w:pPr>
              <w:spacing w:line="540" w:lineRule="exact"/>
              <w:ind w:firstLine="470" w:firstLineChars="196"/>
              <w:rPr>
                <w:rFonts w:hAnsi="宋体"/>
                <w:sz w:val="24"/>
                <w:szCs w:val="24"/>
              </w:rPr>
            </w:pPr>
            <w:r>
              <w:rPr>
                <w:rFonts w:ascii="Times New Roman" w:hAnsi="Times New Roman"/>
                <w:sz w:val="24"/>
                <w:szCs w:val="24"/>
              </w:rPr>
              <w:t>施工期整个过程分为基础工程阶段、主体工程阶段、装修工程阶段、竣工清理阶段和竣工验收等五个阶段，具体工艺流程及产污环节见图1所</w:t>
            </w:r>
            <w:r>
              <w:rPr>
                <w:rFonts w:hint="eastAsia" w:hAnsi="宋体"/>
                <w:sz w:val="24"/>
                <w:szCs w:val="24"/>
              </w:rPr>
              <w:t>示：</w:t>
            </w:r>
          </w:p>
          <w:p>
            <w:pPr>
              <w:jc w:val="center"/>
              <w:rPr>
                <w:rFonts w:hAnsi="宋体"/>
                <w:sz w:val="24"/>
              </w:rPr>
            </w:pPr>
            <w:r>
              <w:object>
                <v:shape id="_x0000_i1025" o:spt="75" type="#_x0000_t75" style="height:117pt;width:432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pPr>
              <w:spacing w:line="420" w:lineRule="exact"/>
              <w:ind w:firstLine="482" w:firstLineChars="200"/>
              <w:jc w:val="center"/>
              <w:rPr>
                <w:rFonts w:ascii="Times New Roman"/>
                <w:b/>
                <w:sz w:val="24"/>
                <w:szCs w:val="24"/>
              </w:rPr>
            </w:pPr>
            <w:r>
              <w:rPr>
                <w:rFonts w:ascii="Times New Roman"/>
                <w:b/>
                <w:sz w:val="24"/>
                <w:szCs w:val="24"/>
              </w:rPr>
              <w:t>图</w:t>
            </w:r>
            <w:r>
              <w:rPr>
                <w:rFonts w:ascii="Times New Roman" w:hAnsi="Times New Roman"/>
                <w:b/>
                <w:sz w:val="24"/>
                <w:szCs w:val="24"/>
              </w:rPr>
              <w:t xml:space="preserve">1  </w:t>
            </w:r>
            <w:r>
              <w:rPr>
                <w:rFonts w:ascii="Times New Roman"/>
                <w:b/>
                <w:sz w:val="24"/>
                <w:szCs w:val="24"/>
              </w:rPr>
              <w:t>施工期工艺流程及产污环节图</w:t>
            </w:r>
          </w:p>
          <w:p>
            <w:pPr>
              <w:spacing w:line="540" w:lineRule="exact"/>
              <w:ind w:firstLine="472" w:firstLineChars="196"/>
              <w:rPr>
                <w:rFonts w:hAnsi="宋体"/>
                <w:b/>
                <w:sz w:val="24"/>
              </w:rPr>
            </w:pPr>
            <w:r>
              <w:rPr>
                <w:rFonts w:hint="eastAsia" w:hAnsi="宋体"/>
                <w:b/>
                <w:sz w:val="24"/>
              </w:rPr>
              <w:t>二、运营期</w:t>
            </w:r>
          </w:p>
          <w:p>
            <w:pPr>
              <w:tabs>
                <w:tab w:val="left" w:pos="5222"/>
              </w:tabs>
              <w:spacing w:beforeLines="50" w:line="360" w:lineRule="auto"/>
              <w:ind w:firstLine="480" w:firstLineChars="200"/>
              <w:rPr>
                <w:rFonts w:ascii="宋体" w:hAnsi="宋体"/>
                <w:color w:val="000000"/>
                <w:sz w:val="24"/>
              </w:rPr>
            </w:pPr>
            <w:r>
              <w:rPr>
                <w:rFonts w:ascii="宋体" w:hAnsi="宋体"/>
                <w:color w:val="000000"/>
                <w:sz w:val="24"/>
                <w:szCs w:val="24"/>
              </w:rPr>
              <w:pict>
                <v:rect id="_x0000_s4572" o:spid="_x0000_s4572" o:spt="1" style="position:absolute;left:0pt;margin-left:131.45pt;margin-top:30.2pt;height:23.55pt;width:180.3pt;z-index:1024;mso-width-relative:page;mso-height-relative:page;" filled="f" stroked="f" coordsize="21600,21600">
                  <v:path/>
                  <v:fill on="f" focussize="0,0"/>
                  <v:stroke on="f"/>
                  <v:imagedata o:title=""/>
                  <o:lock v:ext="edit"/>
                  <v:textbox>
                    <w:txbxContent>
                      <w:p>
                        <w:r>
                          <w:rPr>
                            <w:rFonts w:hint="eastAsia"/>
                          </w:rPr>
                          <w:t>石子、水泥、沙子、水、</w:t>
                        </w:r>
                        <w:r>
                          <w:rPr>
                            <w:rFonts w:hint="eastAsia" w:ascii="宋体" w:hAnsi="宋体"/>
                            <w:color w:val="000000"/>
                            <w:szCs w:val="21"/>
                          </w:rPr>
                          <w:t>粉煤灰</w:t>
                        </w:r>
                      </w:p>
                    </w:txbxContent>
                  </v:textbox>
                </v:rect>
              </w:pict>
            </w:r>
            <w:r>
              <w:rPr>
                <w:rFonts w:hint="eastAsia" w:ascii="宋体" w:hAnsi="宋体"/>
                <w:color w:val="000000"/>
                <w:sz w:val="24"/>
              </w:rPr>
              <w:t>本项目运营期生产工艺流程图：</w:t>
            </w:r>
          </w:p>
          <w:p>
            <w:pPr>
              <w:spacing w:line="360" w:lineRule="auto"/>
              <w:ind w:firstLine="482" w:firstLineChars="200"/>
              <w:rPr>
                <w:rFonts w:ascii="宋体" w:hAnsi="宋体"/>
                <w:b/>
                <w:color w:val="FF0000"/>
                <w:sz w:val="24"/>
                <w:szCs w:val="24"/>
                <w:highlight w:val="yellow"/>
              </w:rPr>
            </w:pPr>
            <w:r>
              <w:rPr>
                <w:rFonts w:ascii="宋体" w:hAnsi="宋体"/>
                <w:b/>
                <w:color w:val="FF0000"/>
                <w:sz w:val="24"/>
                <w:szCs w:val="24"/>
                <w:highlight w:val="yellow"/>
              </w:rPr>
              <w:pict>
                <v:line id="_x0000_s4574" o:spid="_x0000_s4574" o:spt="20" style="position:absolute;left:0pt;margin-left:207.6pt;margin-top:15.55pt;height:17pt;width:0pt;z-index:1024;mso-width-relative:page;mso-height-relative:page;" coordsize="21600,21600">
                  <v:path arrowok="t"/>
                  <v:fill focussize="0,0"/>
                  <v:stroke endarrow="block"/>
                  <v:imagedata o:title=""/>
                  <o:lock v:ext="edit"/>
                </v:line>
              </w:pict>
            </w:r>
          </w:p>
          <w:p>
            <w:pPr>
              <w:spacing w:line="360" w:lineRule="auto"/>
              <w:ind w:firstLine="482" w:firstLineChars="200"/>
              <w:rPr>
                <w:rFonts w:ascii="宋体" w:hAnsi="宋体"/>
                <w:b/>
                <w:color w:val="FF0000"/>
                <w:sz w:val="24"/>
                <w:szCs w:val="24"/>
                <w:highlight w:val="yellow"/>
              </w:rPr>
            </w:pPr>
            <w:r>
              <w:rPr>
                <w:rFonts w:ascii="宋体" w:hAnsi="宋体"/>
                <w:b/>
                <w:color w:val="FF0000"/>
                <w:sz w:val="24"/>
                <w:szCs w:val="24"/>
                <w:highlight w:val="yellow"/>
              </w:rPr>
              <w:pict>
                <v:rect id="_x0000_s4581" o:spid="_x0000_s4581" o:spt="1" style="position:absolute;left:0pt;margin-left:249.6pt;margin-top:8.2pt;height:24.05pt;width:70.25pt;z-index:1024;mso-width-relative:page;mso-height-relative:page;" filled="f" stroked="f" coordsize="21600,21600">
                  <v:path/>
                  <v:fill on="f" focussize="0,0"/>
                  <v:stroke on="f"/>
                  <v:imagedata o:title=""/>
                  <o:lock v:ext="edit"/>
                  <v:textbox>
                    <w:txbxContent>
                      <w:p>
                        <w:pPr>
                          <w:rPr>
                            <w:szCs w:val="21"/>
                            <w:vertAlign w:val="subscript"/>
                          </w:rPr>
                        </w:pPr>
                        <w:r>
                          <w:rPr>
                            <w:rFonts w:hint="eastAsia"/>
                          </w:rPr>
                          <w:t>粉尘、噪声</w:t>
                        </w:r>
                      </w:p>
                    </w:txbxContent>
                  </v:textbox>
                </v:rect>
              </w:pict>
            </w:r>
            <w:r>
              <w:rPr>
                <w:rFonts w:ascii="宋体" w:hAnsi="宋体"/>
                <w:b/>
                <w:color w:val="FF0000"/>
                <w:sz w:val="24"/>
                <w:szCs w:val="24"/>
                <w:highlight w:val="yellow"/>
              </w:rPr>
              <w:pict>
                <v:rect id="_x0000_s4575" o:spid="_x0000_s4575" o:spt="1" style="position:absolute;left:0pt;margin-left:165.6pt;margin-top:8.6pt;height:24.05pt;width:84pt;z-index:1024;mso-width-relative:page;mso-height-relative:page;" filled="f" coordsize="21600,21600">
                  <v:path/>
                  <v:fill on="f" focussize="0,0"/>
                  <v:stroke/>
                  <v:imagedata o:title=""/>
                  <o:lock v:ext="edit"/>
                  <v:textbox>
                    <w:txbxContent>
                      <w:p>
                        <w:pPr>
                          <w:jc w:val="center"/>
                        </w:pPr>
                        <w:r>
                          <w:rPr>
                            <w:rFonts w:hint="eastAsia"/>
                          </w:rPr>
                          <w:t>搅拌</w:t>
                        </w:r>
                      </w:p>
                    </w:txbxContent>
                  </v:textbox>
                </v:rect>
              </w:pict>
            </w:r>
          </w:p>
          <w:p>
            <w:pPr>
              <w:spacing w:line="360" w:lineRule="auto"/>
              <w:ind w:firstLine="482" w:firstLineChars="200"/>
              <w:rPr>
                <w:rFonts w:ascii="宋体" w:hAnsi="宋体"/>
                <w:b/>
                <w:color w:val="FF0000"/>
                <w:sz w:val="24"/>
                <w:szCs w:val="24"/>
                <w:highlight w:val="yellow"/>
              </w:rPr>
            </w:pPr>
            <w:r>
              <w:rPr>
                <w:rFonts w:ascii="宋体" w:hAnsi="宋体"/>
                <w:b/>
                <w:color w:val="FF0000"/>
                <w:sz w:val="24"/>
                <w:szCs w:val="24"/>
                <w:highlight w:val="yellow"/>
              </w:rPr>
              <w:pict>
                <v:line id="_x0000_s4576" o:spid="_x0000_s4576" o:spt="20" style="position:absolute;left:0pt;margin-left:207.6pt;margin-top:9.35pt;height:17pt;width:0pt;z-index:1024;mso-width-relative:page;mso-height-relative:page;" coordsize="21600,21600">
                  <v:path arrowok="t"/>
                  <v:fill focussize="0,0"/>
                  <v:stroke endarrow="block"/>
                  <v:imagedata o:title=""/>
                  <o:lock v:ext="edit"/>
                </v:line>
              </w:pict>
            </w:r>
          </w:p>
          <w:p>
            <w:pPr>
              <w:spacing w:afterLines="50" w:line="360" w:lineRule="auto"/>
              <w:rPr>
                <w:rFonts w:ascii="宋体" w:hAnsi="宋体"/>
                <w:b/>
                <w:color w:val="FF0000"/>
                <w:sz w:val="24"/>
                <w:szCs w:val="24"/>
                <w:highlight w:val="yellow"/>
              </w:rPr>
            </w:pPr>
            <w:r>
              <w:rPr>
                <w:b/>
                <w:color w:val="FF0000"/>
                <w:sz w:val="24"/>
                <w:szCs w:val="24"/>
                <w:highlight w:val="yellow"/>
              </w:rPr>
              <w:pict>
                <v:line id="_x0000_s4578" o:spid="_x0000_s4578" o:spt="20" style="position:absolute;left:0pt;margin-left:207.6pt;margin-top:28.35pt;height:17pt;width:0pt;z-index:1024;mso-width-relative:page;mso-height-relative:page;" coordsize="21600,21600">
                  <v:path arrowok="t"/>
                  <v:fill focussize="0,0"/>
                  <v:stroke endarrow="block"/>
                  <v:imagedata o:title=""/>
                  <o:lock v:ext="edit"/>
                </v:line>
              </w:pict>
            </w:r>
            <w:r>
              <w:rPr>
                <w:b/>
                <w:color w:val="FF0000"/>
                <w:sz w:val="24"/>
                <w:szCs w:val="24"/>
                <w:highlight w:val="yellow"/>
              </w:rPr>
              <w:pict>
                <v:rect id="_x0000_s4577" o:spid="_x0000_s4577" o:spt="1" style="position:absolute;left:0pt;margin-left:164.85pt;margin-top:3.8pt;height:24.05pt;width:84pt;z-index:1024;mso-width-relative:page;mso-height-relative:page;" filled="f" coordsize="21600,21600">
                  <v:path/>
                  <v:fill on="f" focussize="0,0"/>
                  <v:stroke/>
                  <v:imagedata o:title=""/>
                  <o:lock v:ext="edit"/>
                  <v:textbox>
                    <w:txbxContent>
                      <w:p>
                        <w:pPr>
                          <w:jc w:val="center"/>
                        </w:pPr>
                        <w:r>
                          <w:rPr>
                            <w:rFonts w:hint="eastAsia"/>
                          </w:rPr>
                          <w:t>分装</w:t>
                        </w:r>
                      </w:p>
                      <w:p/>
                    </w:txbxContent>
                  </v:textbox>
                </v:rect>
              </w:pict>
            </w:r>
          </w:p>
          <w:p>
            <w:pPr>
              <w:spacing w:line="360" w:lineRule="auto"/>
              <w:rPr>
                <w:rFonts w:ascii="宋体" w:hAnsi="宋体"/>
                <w:b/>
                <w:color w:val="FF0000"/>
                <w:sz w:val="24"/>
                <w:szCs w:val="24"/>
              </w:rPr>
            </w:pPr>
            <w:r>
              <w:rPr>
                <w:rFonts w:ascii="宋体" w:hAnsi="宋体"/>
                <w:b/>
                <w:color w:val="FF0000"/>
                <w:sz w:val="24"/>
                <w:szCs w:val="24"/>
              </w:rPr>
              <w:pict>
                <v:rect id="_x0000_s4580" o:spid="_x0000_s4580" o:spt="1" style="position:absolute;left:0pt;margin-left:254.4pt;margin-top:13.85pt;height:24.05pt;width:99.65pt;z-index:1024;mso-width-relative:page;mso-height-relative:page;" filled="f" stroked="f" coordsize="21600,21600">
                  <v:path/>
                  <v:fill on="f" focussize="0,0"/>
                  <v:stroke on="f"/>
                  <v:imagedata o:title=""/>
                  <o:lock v:ext="edit"/>
                  <v:textbox>
                    <w:txbxContent>
                      <w:p>
                        <w:pPr>
                          <w:rPr>
                            <w:color w:val="000000"/>
                            <w:szCs w:val="21"/>
                            <w:vertAlign w:val="subscript"/>
                          </w:rPr>
                        </w:pPr>
                        <w:r>
                          <w:rPr>
                            <w:rFonts w:hint="eastAsia"/>
                            <w:color w:val="000000"/>
                          </w:rPr>
                          <w:t>汽车尾气、噪声</w:t>
                        </w:r>
                      </w:p>
                    </w:txbxContent>
                  </v:textbox>
                </v:rect>
              </w:pict>
            </w:r>
            <w:r>
              <w:rPr>
                <w:b/>
                <w:color w:val="FF0000"/>
                <w:sz w:val="24"/>
                <w:szCs w:val="24"/>
              </w:rPr>
              <w:pict>
                <v:rect id="_x0000_s4579" o:spid="_x0000_s4579" o:spt="1" style="position:absolute;left:0pt;margin-left:164.7pt;margin-top:13.85pt;height:24.05pt;width:84pt;z-index:1024;mso-width-relative:page;mso-height-relative:page;" filled="f" coordsize="21600,21600">
                  <v:path/>
                  <v:fill on="f" focussize="0,0"/>
                  <v:stroke/>
                  <v:imagedata o:title=""/>
                  <o:lock v:ext="edit"/>
                  <v:textbox>
                    <w:txbxContent>
                      <w:p>
                        <w:pPr>
                          <w:jc w:val="center"/>
                        </w:pPr>
                        <w:r>
                          <w:rPr>
                            <w:rFonts w:hint="eastAsia"/>
                          </w:rPr>
                          <w:t>运输出货</w:t>
                        </w:r>
                      </w:p>
                      <w:p/>
                    </w:txbxContent>
                  </v:textbox>
                </v:rect>
              </w:pict>
            </w:r>
            <w:r>
              <w:rPr>
                <w:rFonts w:hint="eastAsia" w:ascii="宋体" w:hAnsi="宋体"/>
                <w:b/>
                <w:color w:val="FF0000"/>
                <w:sz w:val="24"/>
                <w:szCs w:val="24"/>
              </w:rPr>
              <w:t xml:space="preserve">     </w:t>
            </w:r>
          </w:p>
          <w:p>
            <w:pPr>
              <w:ind w:firstLine="482" w:firstLineChars="200"/>
              <w:rPr>
                <w:b/>
                <w:color w:val="FF0000"/>
                <w:sz w:val="24"/>
                <w:highlight w:val="yellow"/>
              </w:rPr>
            </w:pPr>
            <w:r>
              <w:rPr>
                <w:b/>
                <w:color w:val="FF0000"/>
                <w:sz w:val="24"/>
                <w:highlight w:val="yellow"/>
              </w:rPr>
              <w:pict>
                <v:line id="_x0000_s4573" o:spid="_x0000_s4573" o:spt="20" style="position:absolute;left:0pt;margin-left:152.1pt;margin-top:43.9pt;height:0pt;width:36.75pt;z-index:1024;mso-width-relative:page;mso-height-relative:page;" stroked="f" coordsize="21600,21600">
                  <v:path arrowok="t"/>
                  <v:fill focussize="0,0"/>
                  <v:stroke on="f" endarrow="block"/>
                  <v:imagedata o:title=""/>
                  <o:lock v:ext="edit"/>
                </v:line>
              </w:pict>
            </w:r>
          </w:p>
          <w:p>
            <w:pPr>
              <w:spacing w:beforeLines="100" w:line="360" w:lineRule="auto"/>
              <w:ind w:firstLine="472" w:firstLineChars="196"/>
              <w:rPr>
                <w:b/>
                <w:color w:val="000000"/>
                <w:sz w:val="24"/>
              </w:rPr>
            </w:pPr>
            <w:r>
              <w:rPr>
                <w:b/>
                <w:color w:val="000000"/>
                <w:sz w:val="24"/>
              </w:rPr>
              <w:t>工艺说明：</w:t>
            </w:r>
          </w:p>
          <w:p>
            <w:pPr>
              <w:spacing w:line="360" w:lineRule="auto"/>
              <w:ind w:firstLine="480" w:firstLineChars="200"/>
              <w:rPr>
                <w:rFonts w:ascii="Times New Roman" w:hAnsi="Times New Roman"/>
                <w:color w:val="000000"/>
                <w:sz w:val="24"/>
                <w:szCs w:val="24"/>
              </w:rPr>
            </w:pPr>
            <w:r>
              <w:rPr>
                <w:rFonts w:ascii="Times New Roman"/>
                <w:color w:val="000000"/>
                <w:sz w:val="24"/>
                <w:szCs w:val="24"/>
              </w:rPr>
              <w:t>（</w:t>
            </w:r>
            <w:r>
              <w:rPr>
                <w:rFonts w:ascii="Times New Roman" w:hAnsi="Times New Roman"/>
                <w:color w:val="000000"/>
                <w:sz w:val="24"/>
                <w:szCs w:val="24"/>
              </w:rPr>
              <w:t>1</w:t>
            </w:r>
            <w:r>
              <w:rPr>
                <w:rFonts w:ascii="Times New Roman"/>
                <w:color w:val="000000"/>
                <w:sz w:val="24"/>
                <w:szCs w:val="24"/>
              </w:rPr>
              <w:t>）砂子、石子由汽车运入站区后堆存。生产时砂、石分别由输送机装入配料仓，仓底设有计量器，经计量后，由封闭皮带运输机将砂、石送入搅拌机；</w:t>
            </w:r>
          </w:p>
          <w:p>
            <w:pPr>
              <w:spacing w:line="360" w:lineRule="auto"/>
              <w:ind w:firstLine="480" w:firstLineChars="200"/>
              <w:rPr>
                <w:rFonts w:ascii="Times New Roman" w:hAnsi="Times New Roman"/>
                <w:color w:val="000000"/>
                <w:sz w:val="24"/>
                <w:szCs w:val="24"/>
              </w:rPr>
            </w:pPr>
            <w:r>
              <w:rPr>
                <w:rFonts w:ascii="Times New Roman"/>
                <w:color w:val="000000"/>
                <w:sz w:val="24"/>
                <w:szCs w:val="24"/>
              </w:rPr>
              <w:t>（</w:t>
            </w:r>
            <w:r>
              <w:rPr>
                <w:rFonts w:ascii="Times New Roman" w:hAnsi="Times New Roman"/>
                <w:color w:val="000000"/>
                <w:sz w:val="24"/>
                <w:szCs w:val="24"/>
              </w:rPr>
              <w:t>2</w:t>
            </w:r>
            <w:r>
              <w:rPr>
                <w:rFonts w:ascii="Times New Roman"/>
                <w:color w:val="000000"/>
                <w:sz w:val="24"/>
                <w:szCs w:val="24"/>
              </w:rPr>
              <w:t>）水泥由散装水泥车辆运至站内再通过气力输送直接送至水泥储仓，仓底设有皮带计量器，生产时水泥由皮带计量器称量后，通过螺旋输送机送入搅拌机；</w:t>
            </w:r>
          </w:p>
          <w:p>
            <w:pPr>
              <w:spacing w:line="360" w:lineRule="auto"/>
              <w:ind w:firstLine="480" w:firstLineChars="200"/>
              <w:rPr>
                <w:rFonts w:ascii="Times New Roman" w:hAnsi="Times New Roman"/>
                <w:color w:val="000000"/>
                <w:sz w:val="24"/>
                <w:szCs w:val="24"/>
              </w:rPr>
            </w:pPr>
            <w:r>
              <w:rPr>
                <w:rFonts w:ascii="Times New Roman"/>
                <w:color w:val="000000"/>
                <w:sz w:val="24"/>
                <w:szCs w:val="24"/>
              </w:rPr>
              <w:t>（</w:t>
            </w:r>
            <w:r>
              <w:rPr>
                <w:rFonts w:ascii="Times New Roman" w:hAnsi="Times New Roman"/>
                <w:color w:val="000000"/>
                <w:sz w:val="24"/>
                <w:szCs w:val="24"/>
              </w:rPr>
              <w:t>3</w:t>
            </w:r>
            <w:r>
              <w:rPr>
                <w:rFonts w:ascii="Times New Roman"/>
                <w:color w:val="000000"/>
                <w:sz w:val="24"/>
                <w:szCs w:val="24"/>
              </w:rPr>
              <w:t>）水计量后进入搅拌机；</w:t>
            </w:r>
          </w:p>
          <w:p>
            <w:pPr>
              <w:spacing w:line="360" w:lineRule="auto"/>
              <w:ind w:firstLine="480" w:firstLineChars="200"/>
              <w:rPr>
                <w:rFonts w:ascii="Times New Roman" w:hAnsi="Times New Roman"/>
                <w:color w:val="000000"/>
                <w:sz w:val="24"/>
                <w:szCs w:val="24"/>
              </w:rPr>
            </w:pPr>
            <w:r>
              <w:rPr>
                <w:rFonts w:ascii="Times New Roman"/>
                <w:color w:val="000000"/>
                <w:sz w:val="24"/>
                <w:szCs w:val="24"/>
              </w:rPr>
              <w:t>（</w:t>
            </w:r>
            <w:r>
              <w:rPr>
                <w:rFonts w:ascii="Times New Roman" w:hAnsi="Times New Roman"/>
                <w:color w:val="000000"/>
                <w:sz w:val="24"/>
                <w:szCs w:val="24"/>
              </w:rPr>
              <w:t>4</w:t>
            </w:r>
            <w:r>
              <w:rPr>
                <w:rFonts w:ascii="Times New Roman"/>
                <w:color w:val="000000"/>
                <w:sz w:val="24"/>
                <w:szCs w:val="24"/>
              </w:rPr>
              <w:t>）搅拌机受料过程在极短的时间内连续进行，受料完成后，开始搅拌，经搅拌后的产品装入搅拌运输车运往施工现场。</w:t>
            </w:r>
          </w:p>
          <w:p>
            <w:pPr>
              <w:spacing w:line="360" w:lineRule="auto"/>
              <w:ind w:firstLine="482" w:firstLineChars="200"/>
              <w:rPr>
                <w:rFonts w:ascii="Times New Roman" w:hAnsi="Times New Roman"/>
                <w:color w:val="000000"/>
                <w:sz w:val="24"/>
                <w:szCs w:val="24"/>
              </w:rPr>
            </w:pPr>
            <w:r>
              <w:rPr>
                <w:rFonts w:ascii="Times New Roman" w:hAnsi="Times New Roman"/>
                <w:b/>
                <w:color w:val="000000"/>
                <w:sz w:val="24"/>
                <w:szCs w:val="24"/>
              </w:rPr>
              <w:t>备注：</w:t>
            </w:r>
            <w:r>
              <w:rPr>
                <w:rFonts w:ascii="Times New Roman" w:hAnsi="Times New Roman"/>
                <w:color w:val="000000"/>
                <w:sz w:val="24"/>
                <w:szCs w:val="24"/>
              </w:rPr>
              <w:t>1、</w:t>
            </w:r>
            <w:r>
              <w:rPr>
                <w:rFonts w:ascii="Times New Roman"/>
                <w:color w:val="000000"/>
                <w:sz w:val="24"/>
                <w:szCs w:val="24"/>
              </w:rPr>
              <w:t>项目水泥、</w:t>
            </w:r>
            <w:r>
              <w:rPr>
                <w:rFonts w:ascii="Times New Roman" w:hAnsi="Times New Roman"/>
                <w:color w:val="000000"/>
                <w:sz w:val="24"/>
                <w:szCs w:val="24"/>
              </w:rPr>
              <w:t>粉煤灰</w:t>
            </w:r>
            <w:r>
              <w:rPr>
                <w:rFonts w:ascii="Times New Roman"/>
                <w:color w:val="000000"/>
                <w:sz w:val="24"/>
                <w:szCs w:val="24"/>
              </w:rPr>
              <w:t>原料仓的顶部和底部、搅拌机的顶部设有集气系统，原料运转时产生的含尘废气由集气系统收集后分别经旋风除尘器和布袋除尘器净化后排空</w:t>
            </w:r>
            <w:r>
              <w:rPr>
                <w:rFonts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2、整个生产过程为简单的物料混合、搅拌过程。</w:t>
            </w:r>
          </w:p>
          <w:p>
            <w:pPr>
              <w:spacing w:line="360" w:lineRule="auto"/>
              <w:ind w:firstLine="480" w:firstLineChars="200"/>
              <w:rPr>
                <w:rFonts w:ascii="Times New Roman" w:hAnsi="Times New Roman"/>
                <w:color w:val="000000"/>
                <w:spacing w:val="8"/>
                <w:sz w:val="24"/>
                <w:szCs w:val="24"/>
              </w:rPr>
            </w:pPr>
            <w:r>
              <w:rPr>
                <w:rFonts w:ascii="Times New Roman" w:hAnsi="Times New Roman"/>
                <w:color w:val="000000"/>
                <w:sz w:val="24"/>
                <w:szCs w:val="24"/>
              </w:rPr>
              <w:t>3、项目设有实验室对产品进行测试，主要测试产品硬度，为物理性测试。</w:t>
            </w:r>
          </w:p>
          <w:p>
            <w:pPr>
              <w:spacing w:line="360" w:lineRule="auto"/>
              <w:ind w:firstLine="512" w:firstLineChars="200"/>
              <w:rPr>
                <w:rFonts w:ascii="Times New Roman" w:hAnsi="Times New Roman"/>
                <w:color w:val="000000"/>
                <w:spacing w:val="8"/>
                <w:sz w:val="24"/>
                <w:szCs w:val="24"/>
              </w:rPr>
            </w:pPr>
          </w:p>
          <w:p>
            <w:pPr>
              <w:snapToGrid w:val="0"/>
              <w:spacing w:line="360" w:lineRule="auto"/>
              <w:ind w:firstLine="482" w:firstLineChars="200"/>
              <w:rPr>
                <w:rFonts w:ascii="Times New Roman" w:hAnsi="宋体"/>
                <w:b/>
                <w:color w:val="000000" w:themeColor="text1"/>
                <w:sz w:val="24"/>
                <w:szCs w:val="28"/>
              </w:rPr>
            </w:pPr>
            <w:r>
              <w:rPr>
                <w:rFonts w:hint="eastAsia" w:ascii="Times New Roman" w:hAnsi="宋体"/>
                <w:b/>
                <w:color w:val="000000" w:themeColor="text1"/>
                <w:sz w:val="24"/>
                <w:szCs w:val="28"/>
              </w:rPr>
              <w:t>三</w:t>
            </w:r>
            <w:r>
              <w:rPr>
                <w:rFonts w:ascii="Times New Roman" w:hAnsi="宋体"/>
                <w:b/>
                <w:color w:val="000000" w:themeColor="text1"/>
                <w:sz w:val="24"/>
                <w:szCs w:val="28"/>
              </w:rPr>
              <w:t>、主要污染工序：</w:t>
            </w:r>
          </w:p>
          <w:p>
            <w:pPr>
              <w:spacing w:line="360" w:lineRule="auto"/>
              <w:ind w:firstLine="472" w:firstLineChars="196"/>
              <w:rPr>
                <w:rFonts w:ascii="Times New Roman" w:hAnsi="宋体"/>
                <w:b/>
                <w:sz w:val="24"/>
              </w:rPr>
            </w:pPr>
            <w:r>
              <w:rPr>
                <w:rFonts w:hint="eastAsia" w:ascii="Times New Roman" w:hAnsi="宋体"/>
                <w:b/>
                <w:sz w:val="24"/>
              </w:rPr>
              <w:t>施工期</w:t>
            </w:r>
          </w:p>
          <w:p>
            <w:pPr>
              <w:spacing w:line="540" w:lineRule="exact"/>
              <w:ind w:firstLine="470" w:firstLineChars="196"/>
              <w:rPr>
                <w:rFonts w:ascii="Times New Roman" w:hAnsi="宋体"/>
                <w:color w:val="000000"/>
                <w:sz w:val="24"/>
                <w:szCs w:val="24"/>
              </w:rPr>
            </w:pPr>
            <w:r>
              <w:rPr>
                <w:rFonts w:hint="eastAsia" w:ascii="Times New Roman" w:hAnsi="宋体"/>
                <w:color w:val="000000"/>
                <w:sz w:val="24"/>
                <w:szCs w:val="24"/>
              </w:rPr>
              <w:t>1、废气</w:t>
            </w:r>
          </w:p>
          <w:p>
            <w:pPr>
              <w:tabs>
                <w:tab w:val="left" w:pos="2940"/>
              </w:tabs>
              <w:spacing w:line="540" w:lineRule="exact"/>
              <w:ind w:firstLine="470" w:firstLineChars="196"/>
              <w:rPr>
                <w:rFonts w:ascii="Times New Roman" w:hAnsi="宋体"/>
                <w:color w:val="000000"/>
                <w:sz w:val="24"/>
                <w:szCs w:val="24"/>
              </w:rPr>
            </w:pPr>
            <w:r>
              <w:rPr>
                <w:rFonts w:hint="eastAsia" w:ascii="Times New Roman" w:hAnsi="Times New Roman"/>
                <w:bCs/>
                <w:color w:val="000000"/>
                <w:sz w:val="24"/>
              </w:rPr>
              <w:t>（1）</w:t>
            </w:r>
            <w:r>
              <w:rPr>
                <w:rFonts w:ascii="Times New Roman" w:hAnsi="宋体"/>
                <w:color w:val="000000"/>
                <w:sz w:val="24"/>
                <w:szCs w:val="24"/>
              </w:rPr>
              <w:t>施工扬尘</w:t>
            </w:r>
            <w:r>
              <w:rPr>
                <w:rFonts w:ascii="Times New Roman" w:hAnsi="宋体"/>
                <w:color w:val="000000"/>
                <w:sz w:val="24"/>
                <w:szCs w:val="24"/>
              </w:rPr>
              <w:tab/>
            </w:r>
          </w:p>
          <w:p>
            <w:pPr>
              <w:spacing w:line="540" w:lineRule="exact"/>
              <w:ind w:firstLine="470" w:firstLineChars="196"/>
              <w:rPr>
                <w:rFonts w:ascii="Times New Roman" w:hAnsi="宋体"/>
                <w:color w:val="000000"/>
                <w:sz w:val="24"/>
                <w:szCs w:val="24"/>
              </w:rPr>
            </w:pPr>
            <w:r>
              <w:rPr>
                <w:rFonts w:ascii="Times New Roman" w:hAnsi="宋体"/>
                <w:color w:val="000000"/>
                <w:sz w:val="24"/>
                <w:szCs w:val="24"/>
              </w:rPr>
              <w:t>建筑施工扬尘主要来源于施工期间土地平整、土石方挖掘及堆放、建筑物料和垃圾现场搬运、堆放及运输、灰土搅拌及混凝土搅拌作业等多个环节。主要污染物为TSP，一般来说，扬尘的排放量与施工场地面积大小、施工活动频率以及当地土壤中泥沙颗粒成一定比例，同时，还与当地气象条件如风速、湿度、日照等有关。有局部性，流动性，短时性的特点。</w:t>
            </w:r>
          </w:p>
          <w:p>
            <w:pPr>
              <w:spacing w:line="540" w:lineRule="exact"/>
              <w:ind w:firstLine="470" w:firstLineChars="196"/>
              <w:rPr>
                <w:rFonts w:ascii="Times New Roman" w:hAnsi="宋体"/>
                <w:color w:val="000000"/>
                <w:sz w:val="24"/>
                <w:szCs w:val="24"/>
              </w:rPr>
            </w:pPr>
            <w:bookmarkStart w:id="11" w:name="_Toc29146597"/>
            <w:r>
              <w:rPr>
                <w:rFonts w:hint="eastAsia" w:ascii="Times New Roman" w:hAnsi="Times New Roman"/>
                <w:bCs/>
                <w:color w:val="000000"/>
                <w:sz w:val="24"/>
              </w:rPr>
              <w:t>（2）</w:t>
            </w:r>
            <w:r>
              <w:rPr>
                <w:rFonts w:ascii="Times New Roman" w:hAnsi="宋体"/>
                <w:color w:val="000000"/>
                <w:sz w:val="24"/>
                <w:szCs w:val="24"/>
              </w:rPr>
              <w:t>燃料废气</w:t>
            </w:r>
          </w:p>
          <w:p>
            <w:pPr>
              <w:spacing w:line="540" w:lineRule="exact"/>
              <w:ind w:firstLine="470" w:firstLineChars="196"/>
              <w:rPr>
                <w:rFonts w:ascii="Times New Roman" w:hAnsi="宋体"/>
                <w:color w:val="000000"/>
                <w:sz w:val="24"/>
                <w:szCs w:val="24"/>
              </w:rPr>
            </w:pPr>
            <w:r>
              <w:rPr>
                <w:rFonts w:ascii="Times New Roman" w:hAnsi="宋体"/>
                <w:color w:val="000000"/>
                <w:sz w:val="24"/>
                <w:szCs w:val="24"/>
              </w:rPr>
              <w:t>施工期空压机和运输车辆运行时将排放燃料废气（主要是柴油机废气），废气中含有CO、非甲烷烃及NO</w:t>
            </w:r>
            <w:r>
              <w:rPr>
                <w:rFonts w:ascii="Times New Roman" w:hAnsi="宋体"/>
                <w:color w:val="000000"/>
                <w:sz w:val="24"/>
                <w:szCs w:val="24"/>
                <w:vertAlign w:val="subscript"/>
              </w:rPr>
              <w:t>X</w:t>
            </w:r>
            <w:r>
              <w:rPr>
                <w:rFonts w:ascii="Times New Roman" w:hAnsi="宋体"/>
                <w:color w:val="000000"/>
                <w:sz w:val="24"/>
                <w:szCs w:val="24"/>
              </w:rPr>
              <w:t>。运输建材的卡车通常使用柴油，因而产生黑色烟雾状尾气，其中含有高浓度的碳氢化合物和颗粒物，对周围环境有一定的影响。但工程完工后其污染影响消失。</w:t>
            </w:r>
            <w:bookmarkEnd w:id="11"/>
          </w:p>
          <w:p>
            <w:pPr>
              <w:spacing w:line="540" w:lineRule="exact"/>
              <w:ind w:firstLine="470" w:firstLineChars="196"/>
              <w:rPr>
                <w:rFonts w:ascii="Times New Roman" w:hAnsi="宋体"/>
                <w:color w:val="000000"/>
                <w:sz w:val="24"/>
                <w:szCs w:val="24"/>
              </w:rPr>
            </w:pPr>
            <w:r>
              <w:rPr>
                <w:rFonts w:hint="eastAsia" w:ascii="Times New Roman" w:hAnsi="Times New Roman"/>
                <w:bCs/>
                <w:color w:val="000000"/>
                <w:sz w:val="24"/>
              </w:rPr>
              <w:t>2</w:t>
            </w:r>
            <w:r>
              <w:rPr>
                <w:rFonts w:hint="eastAsia" w:ascii="Times New Roman" w:hAnsi="宋体"/>
                <w:color w:val="000000"/>
                <w:sz w:val="24"/>
                <w:szCs w:val="24"/>
              </w:rPr>
              <w:t>、废水</w:t>
            </w:r>
          </w:p>
          <w:p>
            <w:pPr>
              <w:spacing w:line="540" w:lineRule="exact"/>
              <w:ind w:firstLine="470" w:firstLineChars="196"/>
              <w:rPr>
                <w:rFonts w:ascii="Times New Roman" w:hAnsi="宋体"/>
                <w:color w:val="000000"/>
                <w:sz w:val="24"/>
                <w:szCs w:val="24"/>
              </w:rPr>
            </w:pPr>
            <w:r>
              <w:rPr>
                <w:rFonts w:ascii="Times New Roman" w:hAnsi="宋体"/>
                <w:color w:val="000000"/>
                <w:sz w:val="24"/>
                <w:szCs w:val="24"/>
              </w:rPr>
              <w:t>项目施工期间产生的污水主要包括施工人员的生活污水、建筑施工</w:t>
            </w:r>
            <w:r>
              <w:rPr>
                <w:rFonts w:hint="eastAsia" w:ascii="Times New Roman" w:hAnsi="宋体"/>
                <w:color w:val="000000"/>
                <w:sz w:val="24"/>
                <w:szCs w:val="24"/>
              </w:rPr>
              <w:t>废</w:t>
            </w:r>
            <w:r>
              <w:rPr>
                <w:rFonts w:ascii="Times New Roman" w:hAnsi="宋体"/>
                <w:color w:val="000000"/>
                <w:sz w:val="24"/>
                <w:szCs w:val="24"/>
              </w:rPr>
              <w:t>水。</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（1）生活污水</w:t>
            </w:r>
          </w:p>
          <w:p>
            <w:pPr>
              <w:spacing w:line="540" w:lineRule="exact"/>
              <w:ind w:firstLine="470" w:firstLineChars="196"/>
              <w:rPr>
                <w:rFonts w:ascii="Times New Roman" w:hAnsi="Times New Roman"/>
                <w:bCs/>
                <w:color w:val="000000"/>
                <w:sz w:val="24"/>
              </w:rPr>
            </w:pPr>
            <w:r>
              <w:rPr>
                <w:rFonts w:ascii="Times New Roman" w:hAnsi="Times New Roman"/>
                <w:bCs/>
                <w:color w:val="000000"/>
                <w:sz w:val="24"/>
              </w:rPr>
              <w:t>施工人员生活污水污染因子和浓度约为COD450mg/L，BOD</w:t>
            </w:r>
            <w:r>
              <w:rPr>
                <w:rFonts w:ascii="Times New Roman" w:hAnsi="Times New Roman"/>
                <w:bCs/>
                <w:color w:val="000000"/>
                <w:sz w:val="24"/>
                <w:vertAlign w:val="subscript"/>
              </w:rPr>
              <w:t>5</w:t>
            </w:r>
            <w:r>
              <w:rPr>
                <w:rFonts w:ascii="Times New Roman" w:hAnsi="Times New Roman"/>
                <w:bCs/>
                <w:color w:val="000000"/>
                <w:sz w:val="24"/>
              </w:rPr>
              <w:t>200mg/L，NH</w:t>
            </w:r>
            <w:r>
              <w:rPr>
                <w:rFonts w:ascii="Times New Roman" w:hAnsi="Times New Roman"/>
                <w:bCs/>
                <w:color w:val="000000"/>
                <w:sz w:val="24"/>
                <w:vertAlign w:val="subscript"/>
              </w:rPr>
              <w:t>3</w:t>
            </w:r>
            <w:r>
              <w:rPr>
                <w:rFonts w:ascii="Times New Roman" w:hAnsi="Times New Roman"/>
                <w:bCs/>
                <w:color w:val="000000"/>
                <w:sz w:val="24"/>
              </w:rPr>
              <w:t>-N50mg/L。施工高峰期施工人员及工地管理人员约</w:t>
            </w:r>
            <w:r>
              <w:rPr>
                <w:rFonts w:hint="eastAsia" w:ascii="Times New Roman" w:hAnsi="Times New Roman"/>
                <w:bCs/>
                <w:color w:val="000000"/>
                <w:sz w:val="24"/>
              </w:rPr>
              <w:t>15</w:t>
            </w:r>
            <w:r>
              <w:rPr>
                <w:rFonts w:ascii="Times New Roman" w:hAnsi="Times New Roman"/>
                <w:bCs/>
                <w:color w:val="000000"/>
                <w:sz w:val="24"/>
              </w:rPr>
              <w:t>人，工地生活用水按0.05m</w:t>
            </w:r>
            <w:r>
              <w:rPr>
                <w:rFonts w:ascii="Times New Roman" w:hAnsi="Times New Roman"/>
                <w:bCs/>
                <w:color w:val="000000"/>
                <w:sz w:val="24"/>
                <w:vertAlign w:val="superscript"/>
              </w:rPr>
              <w:t>3</w:t>
            </w:r>
            <w:r>
              <w:rPr>
                <w:rFonts w:ascii="Times New Roman" w:hAnsi="Times New Roman"/>
                <w:bCs/>
                <w:color w:val="000000"/>
                <w:sz w:val="24"/>
              </w:rPr>
              <w:t>/人·d计，用水量为</w:t>
            </w:r>
            <w:r>
              <w:rPr>
                <w:rFonts w:hint="eastAsia" w:ascii="Times New Roman" w:hAnsi="Times New Roman"/>
                <w:bCs/>
                <w:color w:val="000000"/>
                <w:sz w:val="24"/>
              </w:rPr>
              <w:t>0.75</w:t>
            </w:r>
            <w:r>
              <w:rPr>
                <w:rFonts w:ascii="Times New Roman" w:hAnsi="Times New Roman"/>
                <w:bCs/>
                <w:color w:val="000000"/>
                <w:sz w:val="24"/>
              </w:rPr>
              <w:t>m</w:t>
            </w:r>
            <w:r>
              <w:rPr>
                <w:rFonts w:ascii="Times New Roman" w:hAnsi="Times New Roman"/>
                <w:bCs/>
                <w:color w:val="000000"/>
                <w:sz w:val="24"/>
                <w:vertAlign w:val="superscript"/>
              </w:rPr>
              <w:t>3</w:t>
            </w:r>
            <w:r>
              <w:rPr>
                <w:rFonts w:ascii="Times New Roman" w:hAnsi="Times New Roman"/>
                <w:bCs/>
                <w:color w:val="000000"/>
                <w:sz w:val="24"/>
              </w:rPr>
              <w:t>/d；排放系数以0.8计，排放量约为</w:t>
            </w:r>
            <w:r>
              <w:rPr>
                <w:rFonts w:hint="eastAsia" w:ascii="Times New Roman" w:hAnsi="Times New Roman"/>
                <w:bCs/>
                <w:color w:val="000000"/>
                <w:sz w:val="24"/>
              </w:rPr>
              <w:t>0.6</w:t>
            </w:r>
            <w:r>
              <w:rPr>
                <w:rFonts w:ascii="Times New Roman" w:hAnsi="Times New Roman"/>
                <w:bCs/>
                <w:color w:val="000000"/>
                <w:sz w:val="24"/>
              </w:rPr>
              <w:t>m</w:t>
            </w:r>
            <w:r>
              <w:rPr>
                <w:rFonts w:ascii="Times New Roman" w:hAnsi="Times New Roman"/>
                <w:bCs/>
                <w:color w:val="000000"/>
                <w:sz w:val="24"/>
                <w:vertAlign w:val="superscript"/>
              </w:rPr>
              <w:t>3</w:t>
            </w:r>
            <w:r>
              <w:rPr>
                <w:rFonts w:ascii="Times New Roman" w:hAnsi="Times New Roman"/>
                <w:bCs/>
                <w:color w:val="000000"/>
                <w:sz w:val="24"/>
              </w:rPr>
              <w:t>/d。</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（2）施工废水</w:t>
            </w:r>
          </w:p>
          <w:p>
            <w:pPr>
              <w:spacing w:line="540" w:lineRule="exact"/>
              <w:ind w:firstLine="470" w:firstLineChars="196"/>
              <w:rPr>
                <w:rFonts w:ascii="Times New Roman" w:hAnsi="Times New Roman"/>
                <w:bCs/>
                <w:color w:val="000000"/>
                <w:sz w:val="24"/>
              </w:rPr>
            </w:pPr>
            <w:r>
              <w:rPr>
                <w:rFonts w:ascii="Times New Roman" w:hAnsi="Times New Roman"/>
                <w:sz w:val="24"/>
              </w:rPr>
              <w:t>工程施工</w:t>
            </w:r>
            <w:r>
              <w:rPr>
                <w:rFonts w:hint="eastAsia" w:ascii="Times New Roman" w:hAnsi="Times New Roman"/>
                <w:sz w:val="24"/>
              </w:rPr>
              <w:t>废</w:t>
            </w:r>
            <w:r>
              <w:rPr>
                <w:rFonts w:ascii="Times New Roman" w:hAnsi="Times New Roman"/>
                <w:sz w:val="24"/>
              </w:rPr>
              <w:t>水</w:t>
            </w:r>
            <w:r>
              <w:rPr>
                <w:rFonts w:hint="eastAsia" w:ascii="Times New Roman" w:hAnsi="Times New Roman"/>
                <w:sz w:val="24"/>
              </w:rPr>
              <w:t>主要</w:t>
            </w:r>
            <w:r>
              <w:rPr>
                <w:rFonts w:ascii="Times New Roman" w:hAnsi="Times New Roman"/>
                <w:sz w:val="24"/>
              </w:rPr>
              <w:t>包括施工机械洗涤用水、施工现场清洗、建筑清洗、冲洗等，这部分污水主要污染物为油污、建筑垃圾和大量的泥沙。该污水悬浮物浓度较大，但不含其它可溶性的有害物质。</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3、噪声</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项目施工过程中，将使用大量的施工机械和运输车辆。施工噪声主要为机械噪声、运输车辆噪声、施工作业噪声。</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（1）机械噪声</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施工设备中噪声级较高的机械设备有打桩机、推土机、挖掘机、搅拌机、吊车等，其噪声级详见表7所示：</w:t>
            </w:r>
          </w:p>
          <w:p>
            <w:pPr>
              <w:adjustRightInd w:val="0"/>
              <w:snapToGrid w:val="0"/>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7</w:t>
            </w:r>
            <w:r>
              <w:rPr>
                <w:rFonts w:ascii="Times New Roman" w:hAnsi="Times New Roman"/>
                <w:sz w:val="24"/>
                <w:szCs w:val="24"/>
              </w:rPr>
              <w:t xml:space="preserve">  建筑施工机械的噪声级</w:t>
            </w:r>
            <w:r>
              <w:rPr>
                <w:rFonts w:hint="eastAsia" w:ascii="Times New Roman" w:hAnsi="Times New Roman"/>
                <w:sz w:val="24"/>
                <w:szCs w:val="24"/>
              </w:rPr>
              <w:t xml:space="preserve">    </w:t>
            </w:r>
            <w:r>
              <w:rPr>
                <w:rFonts w:ascii="Times New Roman" w:hAnsi="Times New Roman"/>
                <w:sz w:val="24"/>
                <w:szCs w:val="24"/>
              </w:rPr>
              <w:t>单位：dB(A)</w:t>
            </w:r>
          </w:p>
          <w:tbl>
            <w:tblPr>
              <w:tblStyle w:val="27"/>
              <w:tblW w:w="8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1924"/>
              <w:gridCol w:w="2235"/>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292" w:type="dxa"/>
                  <w:tcBorders>
                    <w:top w:val="single" w:color="auto" w:sz="4" w:space="0"/>
                    <w:left w:val="single" w:color="auto" w:sz="4" w:space="0"/>
                    <w:bottom w:val="single" w:color="auto" w:sz="4" w:space="0"/>
                  </w:tcBorders>
                  <w:shd w:val="clear" w:color="auto" w:fill="BFBFBF"/>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机械名称</w:t>
                  </w:r>
                </w:p>
              </w:tc>
              <w:tc>
                <w:tcPr>
                  <w:tcW w:w="1924" w:type="dxa"/>
                  <w:tcBorders>
                    <w:top w:val="single" w:color="auto" w:sz="4" w:space="0"/>
                    <w:bottom w:val="single" w:color="auto" w:sz="4" w:space="0"/>
                  </w:tcBorders>
                  <w:shd w:val="clear" w:color="auto" w:fill="BFBFBF"/>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平均噪声级</w:t>
                  </w:r>
                </w:p>
              </w:tc>
              <w:tc>
                <w:tcPr>
                  <w:tcW w:w="2235" w:type="dxa"/>
                  <w:tcBorders>
                    <w:top w:val="single" w:color="auto" w:sz="4" w:space="0"/>
                    <w:bottom w:val="single" w:color="auto" w:sz="4" w:space="0"/>
                  </w:tcBorders>
                  <w:shd w:val="clear" w:color="auto" w:fill="BFBFBF"/>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机械名称</w:t>
                  </w:r>
                </w:p>
              </w:tc>
              <w:tc>
                <w:tcPr>
                  <w:tcW w:w="1915" w:type="dxa"/>
                  <w:tcBorders>
                    <w:top w:val="single" w:color="auto" w:sz="4" w:space="0"/>
                    <w:bottom w:val="single" w:color="auto" w:sz="4" w:space="0"/>
                    <w:right w:val="single" w:color="auto" w:sz="4" w:space="0"/>
                  </w:tcBorders>
                  <w:shd w:val="clear" w:color="auto" w:fill="BFBFBF"/>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平均噪声级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292" w:type="dxa"/>
                  <w:tcBorders>
                    <w:top w:val="single" w:color="auto" w:sz="4" w:space="0"/>
                    <w:left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铲土机</w:t>
                  </w:r>
                </w:p>
              </w:tc>
              <w:tc>
                <w:tcPr>
                  <w:tcW w:w="1924" w:type="dxa"/>
                  <w:tcBorders>
                    <w:top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75</w:t>
                  </w:r>
                </w:p>
              </w:tc>
              <w:tc>
                <w:tcPr>
                  <w:tcW w:w="2235" w:type="dxa"/>
                  <w:tcBorders>
                    <w:top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混凝土搅拌机</w:t>
                  </w:r>
                </w:p>
              </w:tc>
              <w:tc>
                <w:tcPr>
                  <w:tcW w:w="1915" w:type="dxa"/>
                  <w:tcBorders>
                    <w:top w:val="single" w:color="auto" w:sz="4" w:space="0"/>
                    <w:right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292" w:type="dxa"/>
                  <w:tcBorders>
                    <w:left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水泵</w:t>
                  </w:r>
                </w:p>
              </w:tc>
              <w:tc>
                <w:tcPr>
                  <w:tcW w:w="1924" w:type="dxa"/>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85</w:t>
                  </w:r>
                </w:p>
              </w:tc>
              <w:tc>
                <w:tcPr>
                  <w:tcW w:w="2235" w:type="dxa"/>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混凝土振捣器</w:t>
                  </w:r>
                </w:p>
              </w:tc>
              <w:tc>
                <w:tcPr>
                  <w:tcW w:w="1915" w:type="dxa"/>
                  <w:tcBorders>
                    <w:right w:val="single" w:color="auto" w:sz="4" w:space="0"/>
                  </w:tcBorders>
                  <w:vAlign w:val="center"/>
                </w:tcPr>
                <w:p>
                  <w:pPr>
                    <w:adjustRightInd w:val="0"/>
                    <w:snapToGrid w:val="0"/>
                    <w:spacing w:line="420" w:lineRule="exact"/>
                    <w:jc w:val="center"/>
                    <w:rPr>
                      <w:rFonts w:ascii="Times New Roman" w:hAnsi="Times New Roman"/>
                      <w:szCs w:val="21"/>
                    </w:rPr>
                  </w:pPr>
                  <w:r>
                    <w:rPr>
                      <w:rFonts w:hint="eastAsia" w:ascii="Times New Roman" w:hAnsi="Times New Roman"/>
                      <w:szCs w:val="21"/>
                    </w:rPr>
                    <w:t>10</w:t>
                  </w:r>
                  <w:r>
                    <w:rPr>
                      <w:rFonts w:ascii="Times New Roman" w:hAnsi="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292" w:type="dxa"/>
                  <w:tcBorders>
                    <w:left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打桩机</w:t>
                  </w:r>
                </w:p>
              </w:tc>
              <w:tc>
                <w:tcPr>
                  <w:tcW w:w="1924" w:type="dxa"/>
                  <w:vAlign w:val="center"/>
                </w:tcPr>
                <w:p>
                  <w:pPr>
                    <w:adjustRightInd w:val="0"/>
                    <w:snapToGrid w:val="0"/>
                    <w:spacing w:line="420" w:lineRule="exact"/>
                    <w:jc w:val="center"/>
                    <w:rPr>
                      <w:rFonts w:ascii="Times New Roman" w:hAnsi="Times New Roman"/>
                      <w:szCs w:val="21"/>
                    </w:rPr>
                  </w:pPr>
                  <w:r>
                    <w:rPr>
                      <w:rFonts w:hint="eastAsia" w:ascii="Times New Roman" w:hAnsi="Times New Roman"/>
                      <w:szCs w:val="21"/>
                    </w:rPr>
                    <w:t>1</w:t>
                  </w:r>
                  <w:r>
                    <w:rPr>
                      <w:rFonts w:ascii="Times New Roman" w:hAnsi="Times New Roman"/>
                      <w:szCs w:val="21"/>
                    </w:rPr>
                    <w:t>00</w:t>
                  </w:r>
                </w:p>
              </w:tc>
              <w:tc>
                <w:tcPr>
                  <w:tcW w:w="2235" w:type="dxa"/>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手</w:t>
                  </w:r>
                  <w:r>
                    <w:rPr>
                      <w:rFonts w:ascii="Times New Roman" w:hAnsi="Times New Roman"/>
                      <w:szCs w:val="21"/>
                    </w:rPr>
                    <w:cr/>
                  </w:r>
                  <w:r>
                    <w:rPr>
                      <w:rFonts w:ascii="Times New Roman" w:hAnsi="Times New Roman"/>
                      <w:szCs w:val="21"/>
                    </w:rPr>
                    <w:t>钻</w:t>
                  </w:r>
                </w:p>
              </w:tc>
              <w:tc>
                <w:tcPr>
                  <w:tcW w:w="1915" w:type="dxa"/>
                  <w:tcBorders>
                    <w:right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9</w:t>
                  </w:r>
                  <w:r>
                    <w:rPr>
                      <w:rFonts w:hint="eastAsia" w:ascii="Times New Roman" w:hAnsi="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292" w:type="dxa"/>
                  <w:tcBorders>
                    <w:left w:val="single" w:color="auto" w:sz="4" w:space="0"/>
                    <w:bottom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自卸卡车</w:t>
                  </w:r>
                </w:p>
              </w:tc>
              <w:tc>
                <w:tcPr>
                  <w:tcW w:w="1924" w:type="dxa"/>
                  <w:tcBorders>
                    <w:bottom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70</w:t>
                  </w:r>
                </w:p>
              </w:tc>
              <w:tc>
                <w:tcPr>
                  <w:tcW w:w="2235" w:type="dxa"/>
                  <w:tcBorders>
                    <w:bottom w:val="single" w:color="auto" w:sz="4" w:space="0"/>
                  </w:tcBorders>
                  <w:vAlign w:val="center"/>
                </w:tcPr>
                <w:p>
                  <w:pPr>
                    <w:adjustRightInd w:val="0"/>
                    <w:snapToGrid w:val="0"/>
                    <w:spacing w:line="420" w:lineRule="exact"/>
                    <w:jc w:val="center"/>
                    <w:rPr>
                      <w:rFonts w:ascii="Times New Roman" w:hAnsi="Times New Roman"/>
                      <w:szCs w:val="21"/>
                    </w:rPr>
                  </w:pPr>
                  <w:r>
                    <w:rPr>
                      <w:rFonts w:ascii="Times New Roman" w:hAnsi="Times New Roman"/>
                      <w:szCs w:val="21"/>
                    </w:rPr>
                    <w:t>打夯机</w:t>
                  </w:r>
                </w:p>
              </w:tc>
              <w:tc>
                <w:tcPr>
                  <w:tcW w:w="1915" w:type="dxa"/>
                  <w:tcBorders>
                    <w:bottom w:val="single" w:color="auto" w:sz="4" w:space="0"/>
                    <w:right w:val="single" w:color="auto" w:sz="4" w:space="0"/>
                  </w:tcBorders>
                  <w:vAlign w:val="center"/>
                </w:tcPr>
                <w:p>
                  <w:pPr>
                    <w:adjustRightInd w:val="0"/>
                    <w:snapToGrid w:val="0"/>
                    <w:spacing w:line="420" w:lineRule="exact"/>
                    <w:jc w:val="center"/>
                    <w:rPr>
                      <w:rFonts w:ascii="Times New Roman" w:hAnsi="Times New Roman"/>
                      <w:szCs w:val="21"/>
                    </w:rPr>
                  </w:pPr>
                  <w:r>
                    <w:rPr>
                      <w:rFonts w:hint="eastAsia" w:ascii="Times New Roman" w:hAnsi="Times New Roman"/>
                      <w:szCs w:val="21"/>
                    </w:rPr>
                    <w:t>8</w:t>
                  </w:r>
                  <w:r>
                    <w:rPr>
                      <w:rFonts w:ascii="Times New Roman" w:hAnsi="Times New Roman"/>
                      <w:szCs w:val="21"/>
                    </w:rPr>
                    <w:t>0</w:t>
                  </w:r>
                </w:p>
              </w:tc>
            </w:tr>
          </w:tbl>
          <w:p>
            <w:pPr>
              <w:spacing w:line="540" w:lineRule="exact"/>
              <w:ind w:firstLine="470" w:firstLineChars="196"/>
              <w:rPr>
                <w:rFonts w:ascii="Times New Roman" w:hAnsi="Times New Roman"/>
                <w:bCs/>
                <w:color w:val="000000"/>
                <w:sz w:val="24"/>
              </w:rPr>
            </w:pPr>
            <w:r>
              <w:rPr>
                <w:rFonts w:ascii="Times New Roman" w:hAnsi="Times New Roman"/>
                <w:bCs/>
                <w:color w:val="000000"/>
                <w:sz w:val="24"/>
              </w:rPr>
              <w:t>一般施工现场有多台机械同时作业，各机械噪声级将会叠加，增加约3</w:t>
            </w:r>
            <w:r>
              <w:rPr>
                <w:rFonts w:hint="eastAsia" w:ascii="Times New Roman" w:hAnsi="Times New Roman"/>
                <w:bCs/>
                <w:color w:val="000000"/>
                <w:sz w:val="24"/>
              </w:rPr>
              <w:t>~</w:t>
            </w:r>
            <w:r>
              <w:rPr>
                <w:rFonts w:ascii="Times New Roman" w:hAnsi="Times New Roman"/>
                <w:bCs/>
                <w:color w:val="000000"/>
                <w:sz w:val="24"/>
              </w:rPr>
              <w:t>8</w:t>
            </w:r>
            <w:r>
              <w:rPr>
                <w:rFonts w:ascii="Times New Roman" w:hAnsi="Times New Roman"/>
                <w:sz w:val="24"/>
                <w:szCs w:val="24"/>
              </w:rPr>
              <w:t>dB(A)</w:t>
            </w:r>
            <w:r>
              <w:rPr>
                <w:rFonts w:ascii="Times New Roman" w:hAnsi="Times New Roman"/>
                <w:bCs/>
                <w:color w:val="000000"/>
                <w:sz w:val="24"/>
              </w:rPr>
              <w:t>。</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（2）运输车辆噪声</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施工期进出施工场地的车辆产生的噪声约为75~90dB(A)。</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（3）施工作业噪声</w:t>
            </w:r>
          </w:p>
          <w:p>
            <w:pPr>
              <w:spacing w:line="540" w:lineRule="exact"/>
              <w:ind w:firstLine="470" w:firstLineChars="196"/>
              <w:rPr>
                <w:rFonts w:ascii="Times New Roman" w:hAnsi="Times New Roman"/>
                <w:bCs/>
                <w:color w:val="000000"/>
                <w:sz w:val="24"/>
              </w:rPr>
            </w:pPr>
            <w:r>
              <w:rPr>
                <w:rFonts w:ascii="Times New Roman" w:hAnsi="Times New Roman"/>
                <w:bCs/>
                <w:color w:val="000000"/>
                <w:sz w:val="24"/>
              </w:rPr>
              <w:t>施工作业噪声主要指一些零星的敲打声、撞击声等。</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4、固废</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施工期产生的固体废物为土石方、施工建筑垃圾及施工人员生活垃圾。</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（1）土石方</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项目拟建地地势较平整，开挖量较小，土石方可做到就地平衡，无外运渣土情况。</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（2）建筑垃圾</w:t>
            </w:r>
          </w:p>
          <w:p>
            <w:pPr>
              <w:spacing w:line="540" w:lineRule="exact"/>
              <w:ind w:firstLine="470" w:firstLineChars="196"/>
              <w:rPr>
                <w:rFonts w:ascii="Times New Roman" w:hAnsi="Times New Roman"/>
                <w:bCs/>
                <w:color w:val="FF0000"/>
                <w:sz w:val="24"/>
              </w:rPr>
            </w:pPr>
            <w:r>
              <w:rPr>
                <w:rFonts w:hint="eastAsia" w:ascii="Times New Roman" w:hAnsi="Times New Roman"/>
                <w:bCs/>
                <w:color w:val="000000"/>
                <w:sz w:val="24"/>
              </w:rPr>
              <w:t>项目施工期建筑垃圾主要是废建筑材料，如废砖头、废水泥块、废钢条等，建筑垃圾如果堆存、处置不当，将占用道路以及引发二次扬尘，这将会对项目周围环境产生一</w:t>
            </w:r>
            <w:r>
              <w:rPr>
                <w:rFonts w:hint="eastAsia" w:ascii="Times New Roman" w:hAnsi="Times New Roman"/>
                <w:bCs/>
                <w:color w:val="000000" w:themeColor="text1"/>
                <w:sz w:val="24"/>
              </w:rPr>
              <w:t>定的影响，施工建筑垃圾产生系数为20～50kg/m</w:t>
            </w:r>
            <w:r>
              <w:rPr>
                <w:rFonts w:hint="eastAsia" w:ascii="Times New Roman" w:hAnsi="Times New Roman"/>
                <w:bCs/>
                <w:color w:val="000000" w:themeColor="text1"/>
                <w:sz w:val="24"/>
                <w:vertAlign w:val="superscript"/>
              </w:rPr>
              <w:t>2</w:t>
            </w:r>
            <w:r>
              <w:rPr>
                <w:rFonts w:hint="eastAsia" w:ascii="Times New Roman" w:hAnsi="Times New Roman"/>
                <w:bCs/>
                <w:color w:val="000000" w:themeColor="text1"/>
                <w:sz w:val="24"/>
              </w:rPr>
              <w:t>，考虑本项目实际情况取20kg/m</w:t>
            </w:r>
            <w:r>
              <w:rPr>
                <w:rFonts w:hint="eastAsia" w:ascii="Times New Roman" w:hAnsi="Times New Roman"/>
                <w:bCs/>
                <w:color w:val="000000" w:themeColor="text1"/>
                <w:sz w:val="24"/>
                <w:vertAlign w:val="superscript"/>
              </w:rPr>
              <w:t>2</w:t>
            </w:r>
            <w:r>
              <w:rPr>
                <w:rFonts w:hint="eastAsia" w:ascii="Times New Roman" w:hAnsi="Times New Roman"/>
                <w:bCs/>
                <w:color w:val="000000" w:themeColor="text1"/>
                <w:sz w:val="24"/>
              </w:rPr>
              <w:t>，项目总建筑面积</w:t>
            </w:r>
            <w:r>
              <w:rPr>
                <w:rFonts w:hint="eastAsia" w:ascii="Times New Roman" w:hAnsi="Times New Roman"/>
                <w:color w:val="000000" w:themeColor="text1"/>
                <w:sz w:val="24"/>
              </w:rPr>
              <w:t>1800</w:t>
            </w:r>
            <w:r>
              <w:rPr>
                <w:rFonts w:hint="eastAsia" w:ascii="Times New Roman" w:hAnsi="Times New Roman"/>
                <w:bCs/>
                <w:color w:val="000000" w:themeColor="text1"/>
                <w:sz w:val="24"/>
              </w:rPr>
              <w:t>m</w:t>
            </w:r>
            <w:r>
              <w:rPr>
                <w:rFonts w:hint="eastAsia" w:ascii="Times New Roman" w:hAnsi="Times New Roman"/>
                <w:bCs/>
                <w:color w:val="000000" w:themeColor="text1"/>
                <w:sz w:val="24"/>
                <w:vertAlign w:val="superscript"/>
              </w:rPr>
              <w:t>2</w:t>
            </w:r>
            <w:r>
              <w:rPr>
                <w:rFonts w:hint="eastAsia" w:ascii="Times New Roman" w:hAnsi="Times New Roman"/>
                <w:bCs/>
                <w:color w:val="000000" w:themeColor="text1"/>
                <w:sz w:val="24"/>
              </w:rPr>
              <w:t>，施工建筑垃圾产生量约32t。</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（3）生活垃圾</w:t>
            </w:r>
          </w:p>
          <w:p>
            <w:pPr>
              <w:spacing w:line="540" w:lineRule="exact"/>
              <w:ind w:firstLine="470" w:firstLineChars="196"/>
              <w:rPr>
                <w:rFonts w:ascii="Times New Roman" w:hAnsi="Times New Roman"/>
                <w:bCs/>
                <w:color w:val="000000"/>
                <w:sz w:val="24"/>
              </w:rPr>
            </w:pPr>
            <w:r>
              <w:rPr>
                <w:rFonts w:hint="eastAsia" w:ascii="Times New Roman" w:hAnsi="Times New Roman"/>
                <w:bCs/>
                <w:color w:val="000000"/>
                <w:sz w:val="24"/>
              </w:rPr>
              <w:t>施工人员生活垃圾以每人0.5kg/d计，施工时的工作人员约15人，则施工期生活垃圾产生量约7.5kg/d。</w:t>
            </w:r>
          </w:p>
          <w:p>
            <w:pPr>
              <w:spacing w:line="540" w:lineRule="exact"/>
              <w:ind w:firstLine="472" w:firstLineChars="196"/>
              <w:rPr>
                <w:rFonts w:ascii="Times New Roman" w:hAnsi="宋体"/>
                <w:b/>
                <w:sz w:val="24"/>
              </w:rPr>
            </w:pPr>
            <w:r>
              <w:rPr>
                <w:rFonts w:hint="eastAsia" w:ascii="Times New Roman" w:hAnsi="宋体"/>
                <w:b/>
                <w:sz w:val="24"/>
              </w:rPr>
              <w:t>运营期</w:t>
            </w:r>
          </w:p>
          <w:p>
            <w:pPr>
              <w:spacing w:line="360" w:lineRule="auto"/>
              <w:ind w:firstLine="480" w:firstLineChars="200"/>
              <w:rPr>
                <w:rFonts w:ascii="Times New Roman" w:hAnsi="Times New Roman"/>
                <w:b/>
                <w:color w:val="000000"/>
                <w:sz w:val="24"/>
                <w:szCs w:val="24"/>
              </w:rPr>
            </w:pPr>
            <w:r>
              <w:rPr>
                <w:rFonts w:ascii="Times New Roman" w:hAnsi="宋体"/>
                <w:color w:val="000000"/>
                <w:sz w:val="24"/>
                <w:szCs w:val="24"/>
              </w:rPr>
              <w:t>项目在生产过程中的主要污染物是废水、废气、噪声、固体废物等。其具体源强分析如下：</w:t>
            </w:r>
          </w:p>
          <w:p>
            <w:pPr>
              <w:snapToGrid w:val="0"/>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1</w:t>
            </w:r>
            <w:r>
              <w:rPr>
                <w:rFonts w:ascii="Times New Roman" w:hAnsi="宋体"/>
                <w:b/>
                <w:color w:val="000000"/>
                <w:sz w:val="24"/>
                <w:szCs w:val="24"/>
              </w:rPr>
              <w:t>、废水</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宋体"/>
                <w:color w:val="000000"/>
                <w:sz w:val="24"/>
                <w:szCs w:val="24"/>
              </w:rPr>
              <w:t>（1）</w:t>
            </w:r>
            <w:r>
              <w:rPr>
                <w:rFonts w:ascii="Times New Roman" w:hAnsi="宋体"/>
                <w:color w:val="000000"/>
                <w:sz w:val="24"/>
                <w:szCs w:val="24"/>
              </w:rPr>
              <w:t>工业废水：</w:t>
            </w:r>
            <w:r>
              <w:rPr>
                <w:rFonts w:ascii="Times New Roman" w:hAnsi="宋体"/>
                <w:color w:val="000000"/>
                <w:sz w:val="24"/>
              </w:rPr>
              <w:t>项目清洗搅拌机、运输车等设备及冲洗地面产生一定量的清洗废水。根据厂家介绍及</w:t>
            </w:r>
            <w:r>
              <w:rPr>
                <w:rFonts w:hint="eastAsia" w:ascii="Times New Roman" w:hAnsi="宋体"/>
                <w:color w:val="000000"/>
                <w:sz w:val="24"/>
              </w:rPr>
              <w:t>类比调查</w:t>
            </w:r>
            <w:r>
              <w:rPr>
                <w:rFonts w:ascii="Times New Roman" w:hAnsi="宋体"/>
                <w:color w:val="000000"/>
                <w:sz w:val="24"/>
              </w:rPr>
              <w:t>，项目清洗废水产生量为</w:t>
            </w:r>
            <w:r>
              <w:rPr>
                <w:rFonts w:ascii="Times New Roman" w:hAnsi="Times New Roman"/>
                <w:color w:val="000000"/>
                <w:sz w:val="24"/>
              </w:rPr>
              <w:t>20</w:t>
            </w:r>
            <w:r>
              <w:rPr>
                <w:rFonts w:ascii="Times New Roman" w:hAnsi="宋体"/>
                <w:color w:val="000000"/>
                <w:sz w:val="24"/>
              </w:rPr>
              <w:t>吨</w:t>
            </w:r>
            <w:r>
              <w:rPr>
                <w:rFonts w:ascii="Times New Roman" w:hAnsi="Times New Roman"/>
                <w:color w:val="000000"/>
                <w:sz w:val="24"/>
              </w:rPr>
              <w:t>/</w:t>
            </w:r>
            <w:r>
              <w:rPr>
                <w:rFonts w:ascii="Times New Roman" w:hAnsi="宋体"/>
                <w:color w:val="000000"/>
                <w:sz w:val="24"/>
              </w:rPr>
              <w:t>日，</w:t>
            </w:r>
            <w:r>
              <w:rPr>
                <w:rFonts w:hint="eastAsia" w:ascii="Times New Roman" w:hAnsi="宋体"/>
                <w:color w:val="000000"/>
                <w:sz w:val="24"/>
              </w:rPr>
              <w:t>6000吨/年。</w:t>
            </w:r>
            <w:r>
              <w:rPr>
                <w:rFonts w:ascii="Times New Roman" w:hAnsi="宋体"/>
                <w:color w:val="000000"/>
                <w:sz w:val="24"/>
                <w:szCs w:val="24"/>
              </w:rPr>
              <w:t>项目清洗废水经三级沉淀池</w:t>
            </w:r>
            <w:r>
              <w:rPr>
                <w:rFonts w:hint="eastAsia" w:ascii="Times New Roman" w:hAnsi="宋体"/>
                <w:color w:val="000000"/>
                <w:sz w:val="24"/>
                <w:szCs w:val="24"/>
              </w:rPr>
              <w:t>+清水池</w:t>
            </w:r>
            <w:r>
              <w:rPr>
                <w:rFonts w:ascii="Times New Roman" w:hAnsi="宋体"/>
                <w:color w:val="000000"/>
                <w:sz w:val="24"/>
                <w:szCs w:val="24"/>
              </w:rPr>
              <w:t>处理后全部回用，不外排。</w:t>
            </w:r>
          </w:p>
          <w:p>
            <w:pPr>
              <w:snapToGrid w:val="0"/>
              <w:spacing w:line="360" w:lineRule="auto"/>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（2）</w:t>
            </w:r>
            <w:r>
              <w:rPr>
                <w:rFonts w:ascii="Times New Roman" w:hAnsi="Times New Roman"/>
                <w:color w:val="000000" w:themeColor="text1"/>
                <w:sz w:val="24"/>
                <w:szCs w:val="24"/>
              </w:rPr>
              <w:t>生活污水：项目定员40人，员工统一在项目内食宿。</w:t>
            </w:r>
            <w:r>
              <w:rPr>
                <w:rFonts w:hint="eastAsia" w:ascii="Times New Roman" w:hAnsi="Times New Roman"/>
                <w:color w:val="000000" w:themeColor="text1"/>
                <w:sz w:val="24"/>
                <w:szCs w:val="24"/>
              </w:rPr>
              <w:t>根据《广东省用水定额》（DB44/T1461-2014）中的规定，员工生活平均用水量为80L/人•d，</w:t>
            </w:r>
            <w:r>
              <w:rPr>
                <w:rFonts w:ascii="Times New Roman" w:hAnsi="Times New Roman"/>
                <w:color w:val="000000" w:themeColor="text1"/>
                <w:sz w:val="24"/>
                <w:szCs w:val="24"/>
              </w:rPr>
              <w:t>则项目员工在班生活用水</w:t>
            </w:r>
            <w:r>
              <w:rPr>
                <w:rFonts w:hint="eastAsia" w:ascii="Times New Roman" w:hAnsi="Times New Roman"/>
                <w:color w:val="000000" w:themeColor="text1"/>
                <w:sz w:val="24"/>
                <w:szCs w:val="24"/>
              </w:rPr>
              <w:t>3.2</w:t>
            </w:r>
            <w:r>
              <w:rPr>
                <w:rFonts w:ascii="Times New Roman" w:hAnsi="Times New Roman"/>
                <w:color w:val="000000" w:themeColor="text1"/>
                <w:sz w:val="24"/>
                <w:szCs w:val="24"/>
              </w:rPr>
              <w:t>t/d，</w:t>
            </w:r>
            <w:r>
              <w:rPr>
                <w:rFonts w:hint="eastAsia" w:ascii="Times New Roman" w:hAnsi="Times New Roman"/>
                <w:color w:val="000000" w:themeColor="text1"/>
                <w:sz w:val="24"/>
                <w:szCs w:val="24"/>
              </w:rPr>
              <w:t>960</w:t>
            </w:r>
            <w:r>
              <w:rPr>
                <w:rFonts w:ascii="Times New Roman" w:hAnsi="Times New Roman"/>
                <w:color w:val="000000" w:themeColor="text1"/>
                <w:sz w:val="24"/>
                <w:szCs w:val="24"/>
              </w:rPr>
              <w:t>t/a（按300天计）。生活污水排放量按用水量的90%计，即生活污水排放量</w:t>
            </w:r>
            <w:r>
              <w:rPr>
                <w:rFonts w:hint="eastAsia" w:ascii="Times New Roman" w:hAnsi="Times New Roman"/>
                <w:color w:val="000000" w:themeColor="text1"/>
                <w:sz w:val="24"/>
                <w:szCs w:val="24"/>
              </w:rPr>
              <w:t>2.88</w:t>
            </w:r>
            <w:r>
              <w:rPr>
                <w:rFonts w:ascii="Times New Roman" w:hAnsi="Times New Roman"/>
                <w:color w:val="000000" w:themeColor="text1"/>
                <w:sz w:val="24"/>
                <w:szCs w:val="24"/>
              </w:rPr>
              <w:t>t/d，</w:t>
            </w:r>
            <w:r>
              <w:rPr>
                <w:rFonts w:hint="eastAsia" w:ascii="Times New Roman" w:hAnsi="Times New Roman"/>
                <w:color w:val="000000" w:themeColor="text1"/>
                <w:sz w:val="24"/>
                <w:szCs w:val="24"/>
              </w:rPr>
              <w:t>864</w:t>
            </w:r>
            <w:r>
              <w:rPr>
                <w:rFonts w:ascii="Times New Roman" w:hAnsi="Times New Roman"/>
                <w:color w:val="000000" w:themeColor="text1"/>
                <w:sz w:val="24"/>
                <w:szCs w:val="24"/>
              </w:rPr>
              <w:t>t/a。生活污水主要污染因子为COD</w:t>
            </w:r>
            <w:r>
              <w:rPr>
                <w:rFonts w:ascii="Times New Roman" w:hAnsi="Times New Roman"/>
                <w:color w:val="000000" w:themeColor="text1"/>
                <w:sz w:val="24"/>
                <w:szCs w:val="24"/>
                <w:vertAlign w:val="subscript"/>
              </w:rPr>
              <w:t>Cr</w:t>
            </w:r>
            <w:r>
              <w:rPr>
                <w:rFonts w:ascii="Times New Roman" w:hAnsi="Times New Roman"/>
                <w:color w:val="000000" w:themeColor="text1"/>
                <w:sz w:val="24"/>
                <w:szCs w:val="24"/>
              </w:rPr>
              <w:t>、BOD</w:t>
            </w:r>
            <w:r>
              <w:rPr>
                <w:rFonts w:ascii="Times New Roman" w:hAnsi="Times New Roman"/>
                <w:color w:val="000000" w:themeColor="text1"/>
                <w:sz w:val="24"/>
                <w:szCs w:val="24"/>
                <w:vertAlign w:val="subscript"/>
              </w:rPr>
              <w:t>5</w:t>
            </w:r>
            <w:r>
              <w:rPr>
                <w:rFonts w:ascii="Times New Roman" w:hAnsi="Times New Roman"/>
                <w:color w:val="000000" w:themeColor="text1"/>
                <w:sz w:val="24"/>
                <w:szCs w:val="24"/>
              </w:rPr>
              <w:t>、SS，浓度分别为400mg/L、200mg/L、220mg/L。</w:t>
            </w:r>
          </w:p>
          <w:p>
            <w:pPr>
              <w:snapToGrid w:val="0"/>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2</w:t>
            </w:r>
            <w:r>
              <w:rPr>
                <w:rFonts w:ascii="Times New Roman" w:hAnsi="宋体"/>
                <w:b/>
                <w:color w:val="000000"/>
                <w:sz w:val="24"/>
                <w:szCs w:val="24"/>
              </w:rPr>
              <w:t>、废气</w:t>
            </w:r>
          </w:p>
          <w:p>
            <w:pPr>
              <w:snapToGrid w:val="0"/>
              <w:spacing w:line="360" w:lineRule="auto"/>
              <w:ind w:firstLine="480" w:firstLineChars="200"/>
              <w:rPr>
                <w:rFonts w:ascii="Times New Roman" w:hAnsi="Times New Roman"/>
                <w:color w:val="000000"/>
                <w:sz w:val="24"/>
                <w:szCs w:val="24"/>
              </w:rPr>
            </w:pPr>
            <w:r>
              <w:rPr>
                <w:rFonts w:ascii="Times New Roman" w:hAnsi="宋体"/>
                <w:color w:val="000000"/>
                <w:sz w:val="24"/>
                <w:szCs w:val="24"/>
              </w:rPr>
              <w:t>（</w:t>
            </w:r>
            <w:r>
              <w:rPr>
                <w:rFonts w:ascii="Times New Roman" w:hAnsi="Times New Roman"/>
                <w:color w:val="000000"/>
                <w:sz w:val="24"/>
                <w:szCs w:val="24"/>
              </w:rPr>
              <w:t>1</w:t>
            </w:r>
            <w:r>
              <w:rPr>
                <w:rFonts w:ascii="Times New Roman" w:hAnsi="宋体"/>
                <w:color w:val="000000"/>
                <w:sz w:val="24"/>
                <w:szCs w:val="24"/>
              </w:rPr>
              <w:t>）粉尘：</w:t>
            </w:r>
            <w:r>
              <w:rPr>
                <w:rFonts w:ascii="Times New Roman" w:hAnsi="Times New Roman"/>
                <w:color w:val="000000"/>
                <w:kern w:val="0"/>
                <w:sz w:val="24"/>
                <w:szCs w:val="24"/>
              </w:rPr>
              <w:t>根据现场调查和工程分析</w:t>
            </w:r>
            <w:r>
              <w:rPr>
                <w:rFonts w:ascii="Times New Roman" w:hAnsi="宋体"/>
                <w:color w:val="000000"/>
                <w:sz w:val="24"/>
                <w:szCs w:val="24"/>
              </w:rPr>
              <w:t>，</w:t>
            </w:r>
            <w:r>
              <w:rPr>
                <w:rFonts w:ascii="Times New Roman" w:hAnsi="Times New Roman"/>
                <w:color w:val="000000"/>
                <w:sz w:val="24"/>
                <w:szCs w:val="24"/>
              </w:rPr>
              <w:t>本项目营运期工艺废气主要为粉尘，污染因子为颗粒物，其来源有输送、计量、投料过程产生的粉尘，筒库呼吸孔和库底粉尘，筒库抽料时放空口产生的粉尘</w:t>
            </w:r>
            <w:r>
              <w:rPr>
                <w:rFonts w:hint="eastAsia" w:ascii="Times New Roman" w:hAnsi="Times New Roman"/>
                <w:color w:val="000000"/>
                <w:sz w:val="24"/>
                <w:szCs w:val="24"/>
              </w:rPr>
              <w:t>以及</w:t>
            </w:r>
            <w:r>
              <w:rPr>
                <w:rFonts w:ascii="Times New Roman" w:hAnsi="Times New Roman"/>
                <w:color w:val="000000"/>
                <w:sz w:val="24"/>
                <w:szCs w:val="24"/>
              </w:rPr>
              <w:t>运输车辆动力起尘。</w:t>
            </w:r>
          </w:p>
          <w:p>
            <w:pPr>
              <w:snapToGrid w:val="0"/>
              <w:spacing w:line="360" w:lineRule="auto"/>
              <w:ind w:firstLine="480" w:firstLineChars="200"/>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输送、计量、投料粉尘</w:t>
            </w:r>
          </w:p>
          <w:p>
            <w:pPr>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本项目的生产工序均采用电脑集中控制，各工序的连锁、联动的协调性、安全性非常强，原料的输送、计量、投料等方式均为封闭式，因此在该过程产生的粉尘量不大，主要为水泥粉尘，排放方式呈无组织形式。类比同类项目《清远市威信混凝土有限公司年产90万立方米商品混凝土》，本项目在输送、计量、投料过程产生的粉尘量为</w:t>
            </w:r>
            <w:r>
              <w:rPr>
                <w:rFonts w:hint="eastAsia" w:ascii="Times New Roman" w:hAnsi="Times New Roman"/>
                <w:color w:val="000000"/>
                <w:sz w:val="24"/>
              </w:rPr>
              <w:t>0.30</w:t>
            </w:r>
            <w:r>
              <w:rPr>
                <w:rFonts w:ascii="Times New Roman" w:hAnsi="Times New Roman"/>
                <w:color w:val="000000"/>
                <w:sz w:val="24"/>
              </w:rPr>
              <w:t>t/a。</w:t>
            </w:r>
          </w:p>
          <w:p>
            <w:pPr>
              <w:snapToGrid w:val="0"/>
              <w:spacing w:line="360" w:lineRule="auto"/>
              <w:ind w:firstLine="480" w:firstLineChars="200"/>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筒库顶呼吸孔及库底粉尘</w:t>
            </w:r>
          </w:p>
          <w:p>
            <w:pPr>
              <w:snapToGrid w:val="0"/>
              <w:spacing w:line="360" w:lineRule="auto"/>
              <w:ind w:firstLine="480" w:firstLineChars="200"/>
              <w:rPr>
                <w:rFonts w:ascii="Times New Roman" w:hAnsi="Times New Roman"/>
                <w:bCs/>
                <w:color w:val="000000"/>
                <w:sz w:val="24"/>
              </w:rPr>
            </w:pPr>
            <w:r>
              <w:rPr>
                <w:rFonts w:ascii="Times New Roman" w:hAnsi="Times New Roman"/>
                <w:bCs/>
                <w:color w:val="000000"/>
                <w:sz w:val="24"/>
              </w:rPr>
              <w:t>项目水泥</w:t>
            </w:r>
            <w:r>
              <w:rPr>
                <w:rFonts w:hint="eastAsia" w:ascii="Times New Roman" w:hAnsi="Times New Roman"/>
                <w:bCs/>
                <w:color w:val="000000"/>
                <w:sz w:val="24"/>
              </w:rPr>
              <w:t>、粉煤灰</w:t>
            </w:r>
            <w:r>
              <w:rPr>
                <w:rFonts w:ascii="Times New Roman" w:hAnsi="Times New Roman"/>
                <w:bCs/>
                <w:color w:val="000000"/>
                <w:sz w:val="24"/>
              </w:rPr>
              <w:t>采用筒库储藏，筒库库顶呼吸孔及库底因粉料扰动而产生的粉尘产生量经对同类企业的类比调查，其与水泥厂水泥筒库基本相同。</w:t>
            </w:r>
          </w:p>
          <w:p>
            <w:pPr>
              <w:snapToGrid w:val="0"/>
              <w:spacing w:line="360" w:lineRule="auto"/>
              <w:ind w:firstLine="480" w:firstLineChars="200"/>
              <w:rPr>
                <w:rFonts w:ascii="Times New Roman" w:hAnsi="Times New Roman"/>
                <w:color w:val="000000"/>
                <w:sz w:val="24"/>
              </w:rPr>
            </w:pPr>
            <w:r>
              <w:rPr>
                <w:rFonts w:ascii="Times New Roman" w:hAnsi="宋体"/>
                <w:bCs/>
                <w:color w:val="000000"/>
                <w:sz w:val="24"/>
              </w:rPr>
              <w:t>项目筒库采用除尘方式如下：库底粉尘通过负压吸风收尘，与库顶呼吸孔共用位于库顶的内置旋风</w:t>
            </w:r>
            <w:r>
              <w:rPr>
                <w:rFonts w:ascii="Times New Roman" w:hAnsi="Times New Roman"/>
                <w:bCs/>
                <w:color w:val="000000"/>
                <w:sz w:val="24"/>
              </w:rPr>
              <w:t>+</w:t>
            </w:r>
            <w:r>
              <w:rPr>
                <w:rFonts w:ascii="Times New Roman" w:hAnsi="宋体"/>
                <w:bCs/>
                <w:color w:val="000000"/>
                <w:sz w:val="24"/>
              </w:rPr>
              <w:t>布袋除尘器。类比美国环保局的</w:t>
            </w:r>
            <w:r>
              <w:rPr>
                <w:rFonts w:ascii="Times New Roman" w:hAnsi="Times New Roman"/>
                <w:bCs/>
                <w:color w:val="000000"/>
                <w:sz w:val="24"/>
              </w:rPr>
              <w:t>AP-42</w:t>
            </w:r>
            <w:r>
              <w:rPr>
                <w:rFonts w:ascii="Times New Roman" w:hAnsi="宋体"/>
                <w:bCs/>
                <w:color w:val="000000"/>
                <w:sz w:val="24"/>
              </w:rPr>
              <w:t>手册中推荐的混凝土搅拌站原料库上料时排尘系数，每上</w:t>
            </w:r>
            <w:r>
              <w:rPr>
                <w:rFonts w:ascii="Times New Roman" w:hAnsi="Times New Roman"/>
                <w:bCs/>
                <w:color w:val="000000"/>
                <w:sz w:val="24"/>
              </w:rPr>
              <w:t>1t</w:t>
            </w:r>
            <w:r>
              <w:rPr>
                <w:rFonts w:ascii="Times New Roman" w:hAnsi="宋体"/>
                <w:bCs/>
                <w:color w:val="000000"/>
                <w:sz w:val="24"/>
              </w:rPr>
              <w:t>料产生粉尘</w:t>
            </w:r>
            <w:r>
              <w:rPr>
                <w:rFonts w:ascii="Times New Roman" w:hAnsi="Times New Roman"/>
                <w:bCs/>
                <w:color w:val="000000"/>
                <w:sz w:val="24"/>
              </w:rPr>
              <w:t>0.23kg</w:t>
            </w:r>
            <w:r>
              <w:rPr>
                <w:rFonts w:ascii="Times New Roman" w:hAnsi="宋体"/>
                <w:bCs/>
                <w:color w:val="000000"/>
                <w:sz w:val="24"/>
              </w:rPr>
              <w:t>，项目水泥</w:t>
            </w:r>
            <w:r>
              <w:rPr>
                <w:rFonts w:hint="eastAsia" w:ascii="Times New Roman" w:hAnsi="宋体"/>
                <w:bCs/>
                <w:color w:val="000000"/>
                <w:sz w:val="24"/>
              </w:rPr>
              <w:t>、粉煤灰</w:t>
            </w:r>
            <w:r>
              <w:rPr>
                <w:rFonts w:ascii="Times New Roman" w:hAnsi="宋体"/>
                <w:bCs/>
                <w:color w:val="000000"/>
                <w:sz w:val="24"/>
              </w:rPr>
              <w:t>用量为</w:t>
            </w:r>
            <w:r>
              <w:rPr>
                <w:rFonts w:hint="eastAsia" w:ascii="Times New Roman" w:hAnsi="Times New Roman"/>
                <w:bCs/>
                <w:color w:val="000000"/>
                <w:sz w:val="24"/>
              </w:rPr>
              <w:t>36</w:t>
            </w:r>
            <w:r>
              <w:rPr>
                <w:rFonts w:ascii="Times New Roman" w:hAnsi="宋体"/>
                <w:bCs/>
                <w:color w:val="000000"/>
                <w:sz w:val="24"/>
              </w:rPr>
              <w:t>万吨每年，即项目粉尘产生量约为</w:t>
            </w:r>
            <w:r>
              <w:rPr>
                <w:rFonts w:hint="eastAsia" w:ascii="Times New Roman" w:hAnsi="Times New Roman"/>
                <w:bCs/>
                <w:color w:val="000000"/>
                <w:sz w:val="24"/>
              </w:rPr>
              <w:t>82.8</w:t>
            </w:r>
            <w:r>
              <w:rPr>
                <w:rFonts w:ascii="Times New Roman" w:hAnsi="Times New Roman"/>
                <w:bCs/>
                <w:color w:val="000000"/>
                <w:sz w:val="24"/>
              </w:rPr>
              <w:t>t/a</w:t>
            </w:r>
            <w:r>
              <w:rPr>
                <w:rFonts w:ascii="Times New Roman" w:hAnsi="宋体"/>
                <w:bCs/>
                <w:color w:val="000000"/>
                <w:sz w:val="24"/>
              </w:rPr>
              <w:t>。根据设备生产企业提供的旋风</w:t>
            </w:r>
            <w:r>
              <w:rPr>
                <w:rFonts w:ascii="Times New Roman" w:hAnsi="Times New Roman"/>
                <w:bCs/>
                <w:color w:val="000000"/>
                <w:sz w:val="24"/>
              </w:rPr>
              <w:t>+</w:t>
            </w:r>
            <w:r>
              <w:rPr>
                <w:rFonts w:ascii="Times New Roman" w:hAnsi="宋体"/>
                <w:bCs/>
                <w:color w:val="000000"/>
                <w:sz w:val="24"/>
              </w:rPr>
              <w:t>布袋除尘器资料，除尘总风量为</w:t>
            </w:r>
            <w:r>
              <w:rPr>
                <w:rFonts w:hint="eastAsia" w:ascii="Times New Roman" w:hAnsi="Times New Roman"/>
                <w:bCs/>
                <w:color w:val="000000"/>
                <w:sz w:val="24"/>
              </w:rPr>
              <w:t>36</w:t>
            </w:r>
            <w:r>
              <w:rPr>
                <w:rFonts w:ascii="Times New Roman" w:hAnsi="Times New Roman"/>
                <w:bCs/>
                <w:color w:val="000000"/>
                <w:sz w:val="24"/>
              </w:rPr>
              <w:t>000</w:t>
            </w:r>
            <w:r>
              <w:rPr>
                <w:rFonts w:ascii="Times New Roman" w:hAnsi="Times New Roman"/>
                <w:color w:val="000000"/>
                <w:szCs w:val="21"/>
              </w:rPr>
              <w:t>m</w:t>
            </w:r>
            <w:r>
              <w:rPr>
                <w:rFonts w:ascii="Times New Roman" w:hAnsi="Times New Roman"/>
                <w:color w:val="000000"/>
                <w:szCs w:val="21"/>
                <w:vertAlign w:val="superscript"/>
              </w:rPr>
              <w:t>3</w:t>
            </w:r>
            <w:r>
              <w:rPr>
                <w:rFonts w:ascii="Times New Roman" w:hAnsi="Times New Roman"/>
                <w:color w:val="000000"/>
                <w:szCs w:val="21"/>
              </w:rPr>
              <w:t>/h</w:t>
            </w:r>
            <w:r>
              <w:rPr>
                <w:rFonts w:ascii="Times New Roman" w:hAnsi="宋体"/>
                <w:color w:val="000000"/>
                <w:sz w:val="24"/>
              </w:rPr>
              <w:t>，</w:t>
            </w:r>
            <w:r>
              <w:rPr>
                <w:rFonts w:ascii="Times New Roman" w:hAnsi="宋体"/>
                <w:bCs/>
                <w:color w:val="000000"/>
                <w:sz w:val="24"/>
              </w:rPr>
              <w:t>除尘效率可以达到</w:t>
            </w:r>
            <w:r>
              <w:rPr>
                <w:rFonts w:ascii="Times New Roman" w:hAnsi="Times New Roman"/>
                <w:bCs/>
                <w:color w:val="000000"/>
                <w:sz w:val="24"/>
              </w:rPr>
              <w:t>99.5</w:t>
            </w:r>
            <w:r>
              <w:rPr>
                <w:rFonts w:ascii="Times New Roman" w:hAnsi="宋体"/>
                <w:bCs/>
                <w:color w:val="000000"/>
                <w:sz w:val="24"/>
              </w:rPr>
              <w:t>％以上，该部分粉尘发生情况如表</w:t>
            </w:r>
            <w:r>
              <w:rPr>
                <w:rFonts w:hint="eastAsia" w:ascii="Times New Roman" w:hAnsi="Times New Roman"/>
                <w:bCs/>
                <w:color w:val="000000"/>
                <w:sz w:val="24"/>
              </w:rPr>
              <w:t>8</w:t>
            </w:r>
            <w:r>
              <w:rPr>
                <w:rFonts w:ascii="Times New Roman" w:hAnsi="宋体"/>
                <w:color w:val="000000"/>
                <w:sz w:val="24"/>
              </w:rPr>
              <w:t>，经计算本项目该部分粉尘排放量约为</w:t>
            </w:r>
            <w:r>
              <w:rPr>
                <w:rFonts w:hint="eastAsia" w:ascii="Times New Roman" w:hAnsi="Times New Roman"/>
                <w:color w:val="000000"/>
                <w:sz w:val="24"/>
              </w:rPr>
              <w:t>0.414</w:t>
            </w:r>
            <w:r>
              <w:rPr>
                <w:rFonts w:ascii="Times New Roman" w:hAnsi="Times New Roman"/>
                <w:color w:val="000000"/>
                <w:sz w:val="24"/>
              </w:rPr>
              <w:t>t/a</w:t>
            </w:r>
            <w:r>
              <w:rPr>
                <w:rFonts w:ascii="Times New Roman" w:hAnsi="宋体"/>
                <w:color w:val="000000"/>
                <w:sz w:val="24"/>
              </w:rPr>
              <w:t>。由于库顶位置较高，呼吸孔不宜安装排气筒，所以该部分粉尘的排放可视为无组织排放。</w:t>
            </w:r>
          </w:p>
          <w:p>
            <w:pPr>
              <w:spacing w:line="360" w:lineRule="auto"/>
              <w:jc w:val="center"/>
              <w:rPr>
                <w:rFonts w:ascii="Times New Roman" w:hAnsi="Times New Roman"/>
                <w:b/>
                <w:color w:val="000000"/>
                <w:sz w:val="24"/>
                <w:szCs w:val="24"/>
              </w:rPr>
            </w:pPr>
            <w:r>
              <w:rPr>
                <w:rFonts w:ascii="Times New Roman" w:hAnsi="宋体"/>
                <w:b/>
                <w:color w:val="000000"/>
                <w:sz w:val="24"/>
                <w:szCs w:val="24"/>
              </w:rPr>
              <w:t>表</w:t>
            </w:r>
            <w:r>
              <w:rPr>
                <w:rFonts w:hint="eastAsia" w:ascii="Times New Roman" w:hAnsi="Times New Roman"/>
                <w:b/>
                <w:color w:val="000000"/>
                <w:sz w:val="24"/>
                <w:szCs w:val="24"/>
              </w:rPr>
              <w:t>8</w:t>
            </w:r>
            <w:r>
              <w:rPr>
                <w:rFonts w:ascii="Times New Roman" w:hAnsi="Times New Roman"/>
                <w:b/>
                <w:color w:val="000000"/>
                <w:sz w:val="24"/>
                <w:szCs w:val="24"/>
              </w:rPr>
              <w:t xml:space="preserve"> </w:t>
            </w:r>
            <w:r>
              <w:rPr>
                <w:rFonts w:hint="eastAsia" w:ascii="Times New Roman" w:hAnsi="Times New Roman"/>
                <w:b/>
                <w:color w:val="000000"/>
                <w:sz w:val="24"/>
                <w:szCs w:val="24"/>
              </w:rPr>
              <w:t xml:space="preserve"> </w:t>
            </w:r>
            <w:r>
              <w:rPr>
                <w:rFonts w:ascii="Times New Roman" w:hAnsi="宋体"/>
                <w:b/>
                <w:color w:val="000000"/>
                <w:sz w:val="24"/>
                <w:szCs w:val="24"/>
              </w:rPr>
              <w:t>水泥</w:t>
            </w:r>
            <w:r>
              <w:rPr>
                <w:rFonts w:hint="eastAsia" w:ascii="Times New Roman" w:hAnsi="宋体"/>
                <w:b/>
                <w:color w:val="000000"/>
                <w:sz w:val="24"/>
                <w:szCs w:val="24"/>
              </w:rPr>
              <w:t>、粉煤灰</w:t>
            </w:r>
            <w:r>
              <w:rPr>
                <w:rFonts w:ascii="Times New Roman" w:hAnsi="宋体"/>
                <w:b/>
                <w:color w:val="000000"/>
                <w:sz w:val="24"/>
                <w:szCs w:val="24"/>
              </w:rPr>
              <w:t>筒库粉尘发生量</w:t>
            </w:r>
          </w:p>
          <w:tbl>
            <w:tblPr>
              <w:tblStyle w:val="27"/>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475"/>
              <w:gridCol w:w="1475"/>
              <w:gridCol w:w="1330"/>
              <w:gridCol w:w="1232"/>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08" w:type="dxa"/>
                  <w:vAlign w:val="center"/>
                </w:tcPr>
                <w:p>
                  <w:pPr>
                    <w:jc w:val="center"/>
                    <w:rPr>
                      <w:rFonts w:ascii="Times New Roman" w:hAnsi="Times New Roman"/>
                      <w:b/>
                      <w:color w:val="000000"/>
                      <w:szCs w:val="21"/>
                    </w:rPr>
                  </w:pPr>
                  <w:r>
                    <w:rPr>
                      <w:rFonts w:ascii="Times New Roman" w:hAnsi="宋体"/>
                      <w:b/>
                      <w:color w:val="000000"/>
                      <w:szCs w:val="21"/>
                    </w:rPr>
                    <w:t>污染源</w:t>
                  </w:r>
                </w:p>
              </w:tc>
              <w:tc>
                <w:tcPr>
                  <w:tcW w:w="1475" w:type="dxa"/>
                  <w:vAlign w:val="center"/>
                </w:tcPr>
                <w:p>
                  <w:pPr>
                    <w:adjustRightInd w:val="0"/>
                    <w:snapToGrid w:val="0"/>
                    <w:jc w:val="center"/>
                    <w:rPr>
                      <w:rFonts w:ascii="Times New Roman" w:hAnsi="Times New Roman"/>
                      <w:b/>
                      <w:color w:val="000000"/>
                      <w:szCs w:val="21"/>
                    </w:rPr>
                  </w:pPr>
                  <w:r>
                    <w:rPr>
                      <w:rFonts w:ascii="Times New Roman" w:hAnsi="宋体"/>
                      <w:b/>
                      <w:color w:val="000000"/>
                      <w:szCs w:val="21"/>
                    </w:rPr>
                    <w:t>粉尘产生量</w:t>
                  </w:r>
                </w:p>
                <w:p>
                  <w:pPr>
                    <w:adjustRightInd w:val="0"/>
                    <w:snapToGrid w:val="0"/>
                    <w:jc w:val="center"/>
                    <w:rPr>
                      <w:rFonts w:ascii="Times New Roman" w:hAnsi="Times New Roman"/>
                      <w:b/>
                      <w:color w:val="000000"/>
                      <w:szCs w:val="21"/>
                    </w:rPr>
                  </w:pPr>
                  <w:r>
                    <w:rPr>
                      <w:rFonts w:ascii="Times New Roman" w:hAnsi="宋体"/>
                      <w:b/>
                      <w:color w:val="000000"/>
                      <w:szCs w:val="21"/>
                    </w:rPr>
                    <w:t>（</w:t>
                  </w:r>
                  <w:r>
                    <w:rPr>
                      <w:rFonts w:ascii="Times New Roman" w:hAnsi="Times New Roman"/>
                      <w:b/>
                      <w:color w:val="000000"/>
                      <w:szCs w:val="21"/>
                    </w:rPr>
                    <w:t>t/a</w:t>
                  </w:r>
                  <w:r>
                    <w:rPr>
                      <w:rFonts w:ascii="Times New Roman" w:hAnsi="宋体"/>
                      <w:b/>
                      <w:color w:val="000000"/>
                      <w:szCs w:val="21"/>
                    </w:rPr>
                    <w:t>）</w:t>
                  </w:r>
                </w:p>
              </w:tc>
              <w:tc>
                <w:tcPr>
                  <w:tcW w:w="1475" w:type="dxa"/>
                  <w:vAlign w:val="center"/>
                </w:tcPr>
                <w:p>
                  <w:pPr>
                    <w:adjustRightInd w:val="0"/>
                    <w:snapToGrid w:val="0"/>
                    <w:jc w:val="center"/>
                    <w:rPr>
                      <w:rFonts w:ascii="Times New Roman" w:hAnsi="Times New Roman"/>
                      <w:b/>
                      <w:color w:val="000000"/>
                      <w:szCs w:val="21"/>
                    </w:rPr>
                  </w:pPr>
                  <w:r>
                    <w:rPr>
                      <w:rFonts w:ascii="Times New Roman" w:hAnsi="宋体"/>
                      <w:b/>
                      <w:color w:val="000000"/>
                      <w:szCs w:val="21"/>
                    </w:rPr>
                    <w:t>除尘净化率（</w:t>
                  </w:r>
                  <w:r>
                    <w:rPr>
                      <w:rFonts w:ascii="Times New Roman" w:hAnsi="Times New Roman"/>
                      <w:b/>
                      <w:color w:val="000000"/>
                      <w:szCs w:val="21"/>
                    </w:rPr>
                    <w:t>%</w:t>
                  </w:r>
                  <w:r>
                    <w:rPr>
                      <w:rFonts w:ascii="Times New Roman" w:hAnsi="宋体"/>
                      <w:b/>
                      <w:color w:val="000000"/>
                      <w:szCs w:val="21"/>
                    </w:rPr>
                    <w:t>）</w:t>
                  </w:r>
                </w:p>
              </w:tc>
              <w:tc>
                <w:tcPr>
                  <w:tcW w:w="1330" w:type="dxa"/>
                  <w:vAlign w:val="center"/>
                </w:tcPr>
                <w:p>
                  <w:pPr>
                    <w:adjustRightInd w:val="0"/>
                    <w:snapToGrid w:val="0"/>
                    <w:jc w:val="center"/>
                    <w:rPr>
                      <w:rFonts w:ascii="Times New Roman" w:hAnsi="Times New Roman"/>
                      <w:b/>
                      <w:color w:val="000000"/>
                      <w:szCs w:val="21"/>
                    </w:rPr>
                  </w:pPr>
                  <w:r>
                    <w:rPr>
                      <w:rFonts w:ascii="Times New Roman" w:hAnsi="宋体"/>
                      <w:b/>
                      <w:color w:val="000000"/>
                      <w:szCs w:val="21"/>
                    </w:rPr>
                    <w:t>粉尘排放量</w:t>
                  </w:r>
                </w:p>
                <w:p>
                  <w:pPr>
                    <w:adjustRightInd w:val="0"/>
                    <w:snapToGrid w:val="0"/>
                    <w:jc w:val="center"/>
                    <w:rPr>
                      <w:rFonts w:ascii="Times New Roman" w:hAnsi="Times New Roman"/>
                      <w:b/>
                      <w:color w:val="000000"/>
                      <w:szCs w:val="21"/>
                    </w:rPr>
                  </w:pPr>
                  <w:r>
                    <w:rPr>
                      <w:rFonts w:ascii="Times New Roman" w:hAnsi="宋体"/>
                      <w:b/>
                      <w:color w:val="000000"/>
                      <w:szCs w:val="21"/>
                    </w:rPr>
                    <w:t>（</w:t>
                  </w:r>
                  <w:r>
                    <w:rPr>
                      <w:rFonts w:ascii="Times New Roman" w:hAnsi="Times New Roman"/>
                      <w:b/>
                      <w:color w:val="000000"/>
                      <w:szCs w:val="21"/>
                    </w:rPr>
                    <w:t>t/a</w:t>
                  </w:r>
                  <w:r>
                    <w:rPr>
                      <w:rFonts w:ascii="Times New Roman" w:hAnsi="宋体"/>
                      <w:b/>
                      <w:color w:val="000000"/>
                      <w:szCs w:val="21"/>
                    </w:rPr>
                    <w:t>）</w:t>
                  </w:r>
                </w:p>
              </w:tc>
              <w:tc>
                <w:tcPr>
                  <w:tcW w:w="1232" w:type="dxa"/>
                  <w:vAlign w:val="center"/>
                </w:tcPr>
                <w:p>
                  <w:pPr>
                    <w:adjustRightInd w:val="0"/>
                    <w:snapToGrid w:val="0"/>
                    <w:jc w:val="center"/>
                    <w:rPr>
                      <w:rFonts w:ascii="Times New Roman" w:hAnsi="Times New Roman"/>
                      <w:b/>
                      <w:color w:val="000000"/>
                      <w:szCs w:val="21"/>
                    </w:rPr>
                  </w:pPr>
                  <w:r>
                    <w:rPr>
                      <w:rFonts w:ascii="Times New Roman" w:hAnsi="宋体"/>
                      <w:b/>
                      <w:color w:val="000000"/>
                      <w:szCs w:val="21"/>
                    </w:rPr>
                    <w:t>总风量</w:t>
                  </w:r>
                </w:p>
                <w:p>
                  <w:pPr>
                    <w:adjustRightInd w:val="0"/>
                    <w:snapToGrid w:val="0"/>
                    <w:jc w:val="center"/>
                    <w:rPr>
                      <w:rFonts w:ascii="Times New Roman" w:hAnsi="Times New Roman"/>
                      <w:b/>
                      <w:color w:val="000000"/>
                      <w:szCs w:val="21"/>
                    </w:rPr>
                  </w:pPr>
                  <w:r>
                    <w:rPr>
                      <w:rFonts w:ascii="Times New Roman" w:hAnsi="Times New Roman"/>
                      <w:b/>
                      <w:color w:val="000000"/>
                      <w:szCs w:val="21"/>
                    </w:rPr>
                    <w:t>(m</w:t>
                  </w:r>
                  <w:r>
                    <w:rPr>
                      <w:rFonts w:ascii="Times New Roman" w:hAnsi="Times New Roman"/>
                      <w:b/>
                      <w:color w:val="000000"/>
                      <w:szCs w:val="21"/>
                      <w:vertAlign w:val="superscript"/>
                    </w:rPr>
                    <w:t>3</w:t>
                  </w:r>
                  <w:r>
                    <w:rPr>
                      <w:rFonts w:ascii="Times New Roman" w:hAnsi="Times New Roman"/>
                      <w:b/>
                      <w:color w:val="000000"/>
                      <w:szCs w:val="21"/>
                    </w:rPr>
                    <w:t>/h)</w:t>
                  </w:r>
                </w:p>
              </w:tc>
              <w:tc>
                <w:tcPr>
                  <w:tcW w:w="1585" w:type="dxa"/>
                  <w:vAlign w:val="center"/>
                </w:tcPr>
                <w:p>
                  <w:pPr>
                    <w:adjustRightInd w:val="0"/>
                    <w:snapToGrid w:val="0"/>
                    <w:jc w:val="center"/>
                    <w:rPr>
                      <w:rFonts w:ascii="Times New Roman" w:hAnsi="Times New Roman"/>
                      <w:b/>
                      <w:color w:val="000000"/>
                      <w:szCs w:val="21"/>
                    </w:rPr>
                  </w:pPr>
                  <w:r>
                    <w:rPr>
                      <w:rFonts w:ascii="Times New Roman" w:hAnsi="宋体"/>
                      <w:b/>
                      <w:color w:val="000000"/>
                      <w:szCs w:val="21"/>
                    </w:rPr>
                    <w:t>粉尘排放浓度</w:t>
                  </w:r>
                </w:p>
                <w:p>
                  <w:pPr>
                    <w:adjustRightInd w:val="0"/>
                    <w:snapToGrid w:val="0"/>
                    <w:jc w:val="center"/>
                    <w:rPr>
                      <w:rFonts w:ascii="Times New Roman" w:hAnsi="Times New Roman"/>
                      <w:b/>
                      <w:color w:val="000000"/>
                      <w:szCs w:val="21"/>
                    </w:rPr>
                  </w:pPr>
                  <w:r>
                    <w:rPr>
                      <w:rFonts w:ascii="Times New Roman" w:hAnsi="Times New Roman"/>
                      <w:b/>
                      <w:color w:val="000000"/>
                      <w:szCs w:val="21"/>
                    </w:rPr>
                    <w:t>(mg/m</w:t>
                  </w:r>
                  <w:r>
                    <w:rPr>
                      <w:rFonts w:ascii="Times New Roman" w:hAnsi="Times New Roman"/>
                      <w:b/>
                      <w:color w:val="000000"/>
                      <w:szCs w:val="21"/>
                      <w:vertAlign w:val="superscript"/>
                    </w:rPr>
                    <w:t>3</w:t>
                  </w:r>
                  <w:r>
                    <w:rPr>
                      <w:rFonts w:ascii="Times New Roman" w:hAnsi="Times New Roman"/>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08" w:type="dxa"/>
                  <w:vAlign w:val="center"/>
                </w:tcPr>
                <w:p>
                  <w:pPr>
                    <w:jc w:val="center"/>
                    <w:rPr>
                      <w:rFonts w:ascii="Times New Roman" w:hAnsi="Times New Roman"/>
                      <w:color w:val="000000"/>
                      <w:szCs w:val="21"/>
                    </w:rPr>
                  </w:pPr>
                  <w:r>
                    <w:rPr>
                      <w:rFonts w:ascii="Times New Roman" w:hAnsi="宋体"/>
                      <w:color w:val="000000"/>
                      <w:szCs w:val="21"/>
                    </w:rPr>
                    <w:t>库筒粉尘</w:t>
                  </w:r>
                </w:p>
              </w:tc>
              <w:tc>
                <w:tcPr>
                  <w:tcW w:w="1475" w:type="dxa"/>
                  <w:vAlign w:val="center"/>
                </w:tcPr>
                <w:p>
                  <w:pPr>
                    <w:jc w:val="center"/>
                    <w:rPr>
                      <w:rFonts w:ascii="Times New Roman" w:hAnsi="Times New Roman"/>
                      <w:color w:val="000000"/>
                      <w:szCs w:val="21"/>
                    </w:rPr>
                  </w:pPr>
                  <w:r>
                    <w:rPr>
                      <w:rFonts w:hint="eastAsia" w:ascii="Times New Roman" w:hAnsi="Times New Roman"/>
                      <w:bCs/>
                      <w:color w:val="000000"/>
                      <w:sz w:val="24"/>
                    </w:rPr>
                    <w:t>82.8</w:t>
                  </w:r>
                </w:p>
              </w:tc>
              <w:tc>
                <w:tcPr>
                  <w:tcW w:w="1475" w:type="dxa"/>
                  <w:vAlign w:val="center"/>
                </w:tcPr>
                <w:p>
                  <w:pPr>
                    <w:jc w:val="center"/>
                    <w:rPr>
                      <w:rFonts w:ascii="Times New Roman" w:hAnsi="Times New Roman"/>
                      <w:color w:val="000000"/>
                      <w:szCs w:val="21"/>
                    </w:rPr>
                  </w:pPr>
                  <w:r>
                    <w:rPr>
                      <w:rFonts w:ascii="Times New Roman" w:hAnsi="Times New Roman"/>
                      <w:color w:val="000000"/>
                      <w:szCs w:val="21"/>
                    </w:rPr>
                    <w:t>99.5</w:t>
                  </w:r>
                </w:p>
              </w:tc>
              <w:tc>
                <w:tcPr>
                  <w:tcW w:w="1330" w:type="dxa"/>
                  <w:vAlign w:val="center"/>
                </w:tcPr>
                <w:p>
                  <w:pPr>
                    <w:jc w:val="center"/>
                    <w:rPr>
                      <w:rFonts w:ascii="Times New Roman" w:hAnsi="Times New Roman"/>
                      <w:color w:val="000000"/>
                      <w:szCs w:val="21"/>
                    </w:rPr>
                  </w:pPr>
                  <w:r>
                    <w:rPr>
                      <w:rFonts w:hint="eastAsia" w:ascii="Times New Roman" w:hAnsi="Times New Roman"/>
                      <w:color w:val="000000"/>
                      <w:sz w:val="24"/>
                    </w:rPr>
                    <w:t>0.414</w:t>
                  </w:r>
                </w:p>
              </w:tc>
              <w:tc>
                <w:tcPr>
                  <w:tcW w:w="1232" w:type="dxa"/>
                  <w:vAlign w:val="center"/>
                </w:tcPr>
                <w:p>
                  <w:pPr>
                    <w:jc w:val="center"/>
                    <w:rPr>
                      <w:rFonts w:ascii="Times New Roman" w:hAnsi="Times New Roman"/>
                      <w:color w:val="000000"/>
                      <w:szCs w:val="21"/>
                    </w:rPr>
                  </w:pPr>
                  <w:r>
                    <w:rPr>
                      <w:rFonts w:ascii="Times New Roman" w:hAnsi="Times New Roman"/>
                      <w:color w:val="000000"/>
                      <w:szCs w:val="21"/>
                    </w:rPr>
                    <w:t>12000</w:t>
                  </w:r>
                </w:p>
              </w:tc>
              <w:tc>
                <w:tcPr>
                  <w:tcW w:w="1585" w:type="dxa"/>
                  <w:vAlign w:val="center"/>
                </w:tcPr>
                <w:p>
                  <w:pPr>
                    <w:jc w:val="center"/>
                    <w:rPr>
                      <w:rFonts w:ascii="Times New Roman" w:hAnsi="Times New Roman"/>
                      <w:color w:val="000000"/>
                      <w:szCs w:val="21"/>
                    </w:rPr>
                  </w:pPr>
                  <w:r>
                    <w:rPr>
                      <w:rFonts w:hint="eastAsia" w:ascii="Times New Roman" w:hAnsi="Times New Roman"/>
                      <w:color w:val="000000"/>
                      <w:szCs w:val="21"/>
                    </w:rPr>
                    <w:t>4.79</w:t>
                  </w:r>
                </w:p>
              </w:tc>
            </w:tr>
          </w:tbl>
          <w:p>
            <w:pPr>
              <w:spacing w:beforeLines="50" w:line="360" w:lineRule="auto"/>
              <w:ind w:firstLine="480" w:firstLineChars="200"/>
              <w:rPr>
                <w:rFonts w:ascii="Times New Roman" w:hAnsi="Times New Roman"/>
                <w:color w:val="000000"/>
                <w:sz w:val="24"/>
              </w:rPr>
            </w:pPr>
            <w:r>
              <w:rPr>
                <w:rFonts w:hint="eastAsia" w:ascii="Times New Roman" w:hAnsi="Times New Roman"/>
                <w:color w:val="000000"/>
                <w:sz w:val="24"/>
              </w:rPr>
              <w:t>③筒库放空口产生的粉尘</w:t>
            </w:r>
          </w:p>
          <w:p>
            <w:pPr>
              <w:spacing w:line="360" w:lineRule="auto"/>
              <w:ind w:firstLine="480" w:firstLineChars="200"/>
              <w:rPr>
                <w:rFonts w:ascii="Times New Roman" w:hAnsi="Times New Roman"/>
                <w:bCs/>
                <w:color w:val="FF0000"/>
                <w:sz w:val="24"/>
              </w:rPr>
            </w:pPr>
            <w:r>
              <w:rPr>
                <w:rFonts w:ascii="Times New Roman" w:hAnsi="Times New Roman"/>
                <w:bCs/>
                <w:color w:val="000000"/>
                <w:sz w:val="24"/>
              </w:rPr>
              <w:t>筒库放空口在抽料时有粉尘产生。根据对同类企业的类比调查，每次粉尘的产生量约为0.3~0.8 kg。项目水泥</w:t>
            </w:r>
            <w:r>
              <w:rPr>
                <w:rFonts w:hint="eastAsia" w:ascii="Times New Roman" w:hAnsi="Times New Roman"/>
                <w:bCs/>
                <w:color w:val="000000"/>
                <w:sz w:val="24"/>
              </w:rPr>
              <w:t>、粉煤灰</w:t>
            </w:r>
            <w:r>
              <w:rPr>
                <w:rFonts w:ascii="Times New Roman" w:hAnsi="Times New Roman"/>
                <w:bCs/>
                <w:color w:val="000000"/>
                <w:sz w:val="24"/>
              </w:rPr>
              <w:t>采用筒库储藏，其年消耗量</w:t>
            </w:r>
            <w:r>
              <w:rPr>
                <w:rFonts w:hint="eastAsia" w:ascii="Times New Roman" w:hAnsi="Times New Roman"/>
                <w:bCs/>
                <w:color w:val="000000"/>
                <w:sz w:val="24"/>
              </w:rPr>
              <w:t>36</w:t>
            </w:r>
            <w:r>
              <w:rPr>
                <w:rFonts w:ascii="Times New Roman" w:hAnsi="Times New Roman"/>
                <w:bCs/>
                <w:color w:val="000000"/>
                <w:sz w:val="24"/>
              </w:rPr>
              <w:t>万吨，按20t/车计，全年运输车辆次为</w:t>
            </w:r>
            <w:r>
              <w:rPr>
                <w:rFonts w:hint="eastAsia" w:ascii="Times New Roman" w:hAnsi="Times New Roman"/>
                <w:bCs/>
                <w:color w:val="000000"/>
                <w:sz w:val="24"/>
              </w:rPr>
              <w:t>6000</w:t>
            </w:r>
            <w:r>
              <w:rPr>
                <w:rFonts w:ascii="Times New Roman" w:hAnsi="Times New Roman"/>
                <w:bCs/>
                <w:color w:val="000000"/>
                <w:sz w:val="24"/>
              </w:rPr>
              <w:t>辆·次，放空口产生粉尘按0.5 kg/辆.次计，合计发生量</w:t>
            </w:r>
            <w:r>
              <w:rPr>
                <w:rFonts w:hint="eastAsia" w:ascii="Times New Roman" w:hAnsi="Times New Roman"/>
                <w:bCs/>
                <w:color w:val="000000"/>
                <w:sz w:val="24"/>
              </w:rPr>
              <w:t>9</w:t>
            </w:r>
            <w:r>
              <w:rPr>
                <w:rFonts w:ascii="Times New Roman" w:hAnsi="Times New Roman"/>
                <w:bCs/>
                <w:color w:val="000000"/>
                <w:sz w:val="24"/>
              </w:rPr>
              <w:t>t/a。该粉尘可通过在筒库放空口处安装自动衔接输料口，同时出料车辆接料口也相应配套自动衔接口，待每次放料结束后先关闭筒库放料口阀门，然后出料车辆才能行驶，如此不仅加强了输接料口的密封性，同时也减少了原料的损耗，从而降低了粉尘的产生量。</w:t>
            </w:r>
            <w:r>
              <w:rPr>
                <w:rFonts w:hint="eastAsia" w:ascii="Times New Roman" w:hAnsi="Times New Roman"/>
                <w:bCs/>
                <w:color w:val="000000"/>
                <w:sz w:val="24"/>
              </w:rPr>
              <w:t>一般降尘效率为70%，则实际排放量为2.7t/a。</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④汽车动力起尘</w:t>
            </w:r>
          </w:p>
          <w:p>
            <w:pPr>
              <w:spacing w:line="360" w:lineRule="auto"/>
              <w:ind w:left="479" w:leftChars="228"/>
              <w:jc w:val="center"/>
              <w:rPr>
                <w:rFonts w:ascii="Times New Roman" w:hAnsi="Times New Roman"/>
                <w:color w:val="FF0000"/>
                <w:sz w:val="24"/>
                <w:szCs w:val="24"/>
              </w:rPr>
            </w:pPr>
            <w:r>
              <w:rPr>
                <w:rFonts w:ascii="Times New Roman" w:hAnsi="Times New Roman"/>
                <w:bCs/>
                <w:color w:val="000000"/>
                <w:sz w:val="24"/>
                <w:szCs w:val="24"/>
              </w:rPr>
              <w:t>车辆行驶产生的扬尘，在道路完全干燥的情况下，可按下列经验公式计算：</w:t>
            </w:r>
            <w:r>
              <w:rPr>
                <w:rFonts w:ascii="Times New Roman" w:hAnsi="Times New Roman"/>
                <w:color w:val="FF0000"/>
                <w:position w:val="-12"/>
                <w:sz w:val="24"/>
                <w:szCs w:val="24"/>
              </w:rPr>
              <w:pict>
                <v:shape id="_x0000_i1026" o:spt="75" type="#_x0000_t75" style="height:23.25pt;width:161.25pt;" filled="f" o:preferrelative="t" stroked="f" coordsize="21600,21600">
                  <v:path/>
                  <v:fill on="f" focussize="0,0"/>
                  <v:stroke on="f" joinstyle="miter"/>
                  <v:imagedata r:id="rId15" o:title=""/>
                  <o:lock v:ext="edit" aspectratio="t"/>
                  <w10:wrap type="none"/>
                  <w10:anchorlock/>
                </v:shape>
              </w:pic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式中：Q</w:t>
            </w:r>
            <w:r>
              <w:rPr>
                <w:rFonts w:hint="eastAsia" w:ascii="Times New Roman" w:hAnsi="Times New Roman"/>
                <w:bCs/>
                <w:color w:val="000000"/>
                <w:sz w:val="24"/>
                <w:szCs w:val="24"/>
                <w:vertAlign w:val="subscript"/>
              </w:rPr>
              <w:t>i</w:t>
            </w:r>
            <w:r>
              <w:rPr>
                <w:rFonts w:ascii="Times New Roman" w:hAnsi="Times New Roman"/>
                <w:bCs/>
                <w:color w:val="000000"/>
                <w:sz w:val="24"/>
                <w:szCs w:val="24"/>
              </w:rPr>
              <w:t>：汽车行驶时的扬尘，kg/km</w:t>
            </w:r>
            <w:r>
              <w:rPr>
                <w:rFonts w:hint="eastAsia" w:ascii="Times New Roman" w:hAnsi="Times New Roman"/>
                <w:bCs/>
                <w:color w:val="000000"/>
                <w:sz w:val="24"/>
                <w:szCs w:val="24"/>
              </w:rPr>
              <w:t>·</w:t>
            </w:r>
            <w:r>
              <w:rPr>
                <w:rFonts w:ascii="Times New Roman" w:hAnsi="Times New Roman"/>
                <w:bCs/>
                <w:color w:val="000000"/>
                <w:sz w:val="24"/>
                <w:szCs w:val="24"/>
              </w:rPr>
              <w:t>辆；</w:t>
            </w:r>
          </w:p>
          <w:p>
            <w:pPr>
              <w:spacing w:line="360" w:lineRule="auto"/>
              <w:ind w:firstLine="480" w:firstLineChars="200"/>
              <w:rPr>
                <w:rFonts w:ascii="Times New Roman" w:hAnsi="Times New Roman"/>
                <w:bCs/>
                <w:color w:val="000000"/>
                <w:sz w:val="24"/>
                <w:szCs w:val="24"/>
              </w:rPr>
            </w:pPr>
            <w:r>
              <w:rPr>
                <w:rFonts w:ascii="Times New Roman" w:hAnsi="Times New Roman"/>
                <w:bCs/>
                <w:color w:val="FF0000"/>
                <w:sz w:val="24"/>
                <w:szCs w:val="24"/>
              </w:rPr>
              <w:t xml:space="preserve">      </w:t>
            </w:r>
            <w:r>
              <w:rPr>
                <w:rFonts w:ascii="Times New Roman" w:hAnsi="Times New Roman"/>
                <w:bCs/>
                <w:color w:val="000000"/>
                <w:sz w:val="24"/>
                <w:szCs w:val="24"/>
              </w:rPr>
              <w:t>V：汽车速度，km/h；</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 xml:space="preserve">      W：汽车载重量，吨；</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 xml:space="preserve">      P：道路表面粉尘量，kg/m</w:t>
            </w:r>
            <w:r>
              <w:rPr>
                <w:rFonts w:ascii="Times New Roman" w:hAnsi="Times New Roman"/>
                <w:bCs/>
                <w:color w:val="000000"/>
                <w:sz w:val="24"/>
                <w:szCs w:val="24"/>
                <w:vertAlign w:val="superscript"/>
              </w:rPr>
              <w:t>2</w:t>
            </w:r>
          </w:p>
          <w:p>
            <w:pPr>
              <w:spacing w:line="360" w:lineRule="auto"/>
              <w:ind w:firstLine="480" w:firstLineChars="200"/>
              <w:rPr>
                <w:rFonts w:ascii="Times New Roman" w:hAnsi="Times New Roman"/>
                <w:bCs/>
                <w:color w:val="000000"/>
                <w:sz w:val="24"/>
                <w:szCs w:val="24"/>
              </w:rPr>
            </w:pPr>
            <w:r>
              <w:rPr>
                <w:rFonts w:ascii="Times New Roman" w:hAnsi="Times New Roman"/>
                <w:color w:val="000000"/>
                <w:sz w:val="24"/>
                <w:szCs w:val="24"/>
              </w:rPr>
              <w:t>项目车辆在厂区内行驶距离按80m计，平均每天发车空、重载各30辆·次；空车重约10.0 t，重车重约30.0 t，以速度20 km/h行驶，其在不同路面清洁度情况下的扬尘量如表</w:t>
            </w:r>
            <w:r>
              <w:rPr>
                <w:rFonts w:hint="eastAsia" w:ascii="Times New Roman" w:hAnsi="Times New Roman"/>
                <w:color w:val="000000"/>
                <w:sz w:val="24"/>
                <w:szCs w:val="24"/>
              </w:rPr>
              <w:t>9</w:t>
            </w:r>
            <w:r>
              <w:rPr>
                <w:rFonts w:ascii="Times New Roman" w:hAnsi="Times New Roman"/>
                <w:color w:val="000000"/>
                <w:sz w:val="24"/>
                <w:szCs w:val="24"/>
              </w:rPr>
              <w:t xml:space="preserve">： </w:t>
            </w:r>
          </w:p>
          <w:p>
            <w:pPr>
              <w:keepNext/>
              <w:adjustRightInd w:val="0"/>
              <w:snapToGrid w:val="0"/>
              <w:spacing w:line="360" w:lineRule="auto"/>
              <w:ind w:firstLine="482" w:firstLineChars="200"/>
              <w:jc w:val="center"/>
              <w:textAlignment w:val="baseline"/>
              <w:rPr>
                <w:rFonts w:ascii="Times New Roman" w:hAnsi="Times New Roman"/>
                <w:b/>
                <w:color w:val="000000"/>
                <w:kern w:val="0"/>
                <w:sz w:val="24"/>
                <w:szCs w:val="24"/>
              </w:rPr>
            </w:pPr>
            <w:r>
              <w:rPr>
                <w:rFonts w:ascii="Times New Roman" w:hAnsi="宋体"/>
                <w:b/>
                <w:color w:val="000000"/>
                <w:kern w:val="0"/>
                <w:sz w:val="24"/>
                <w:szCs w:val="24"/>
              </w:rPr>
              <w:t>表</w:t>
            </w:r>
            <w:r>
              <w:rPr>
                <w:rFonts w:hint="eastAsia" w:ascii="Times New Roman" w:hAnsi="Times New Roman"/>
                <w:b/>
                <w:color w:val="000000"/>
                <w:kern w:val="0"/>
                <w:sz w:val="24"/>
                <w:szCs w:val="24"/>
              </w:rPr>
              <w:t>9</w:t>
            </w:r>
            <w:r>
              <w:rPr>
                <w:rFonts w:ascii="Times New Roman" w:hAnsi="Times New Roman"/>
                <w:b/>
                <w:color w:val="000000"/>
                <w:kern w:val="0"/>
                <w:sz w:val="24"/>
                <w:szCs w:val="24"/>
              </w:rPr>
              <w:t xml:space="preserve">  </w:t>
            </w:r>
            <w:r>
              <w:rPr>
                <w:rFonts w:ascii="Times New Roman" w:hAnsi="宋体"/>
                <w:b/>
                <w:color w:val="000000"/>
                <w:kern w:val="0"/>
                <w:sz w:val="24"/>
                <w:szCs w:val="24"/>
              </w:rPr>
              <w:t>车辆行驶扬尘量（</w:t>
            </w:r>
            <w:r>
              <w:rPr>
                <w:rFonts w:ascii="Times New Roman" w:hAnsi="Times New Roman"/>
                <w:b/>
                <w:color w:val="000000"/>
                <w:kern w:val="0"/>
                <w:sz w:val="24"/>
                <w:szCs w:val="24"/>
              </w:rPr>
              <w:t>kg/d</w:t>
            </w:r>
            <w:r>
              <w:rPr>
                <w:rFonts w:ascii="Times New Roman" w:hAnsi="宋体"/>
                <w:b/>
                <w:color w:val="000000"/>
                <w:kern w:val="0"/>
                <w:sz w:val="24"/>
                <w:szCs w:val="24"/>
              </w:rPr>
              <w:t>）</w:t>
            </w:r>
          </w:p>
          <w:tbl>
            <w:tblPr>
              <w:tblStyle w:val="27"/>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230"/>
              <w:gridCol w:w="1233"/>
              <w:gridCol w:w="1231"/>
              <w:gridCol w:w="1233"/>
              <w:gridCol w:w="1231"/>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0" w:type="dxa"/>
                  <w:tcBorders>
                    <w:bottom w:val="single" w:color="auto" w:sz="4" w:space="0"/>
                    <w:tl2br w:val="single" w:color="auto" w:sz="4" w:space="0"/>
                  </w:tcBorders>
                </w:tcPr>
                <w:p>
                  <w:pPr>
                    <w:jc w:val="center"/>
                    <w:rPr>
                      <w:rFonts w:ascii="Times New Roman" w:hAnsi="Times New Roman"/>
                      <w:b/>
                      <w:color w:val="000000"/>
                      <w:szCs w:val="21"/>
                    </w:rPr>
                  </w:pPr>
                  <w:r>
                    <w:rPr>
                      <w:rFonts w:ascii="Times New Roman" w:hAnsi="Times New Roman"/>
                      <w:b/>
                      <w:color w:val="000000"/>
                      <w:szCs w:val="21"/>
                    </w:rPr>
                    <w:t xml:space="preserve">   </w:t>
                  </w:r>
                  <w:r>
                    <w:rPr>
                      <w:rFonts w:ascii="Times New Roman" w:hAnsi="宋体"/>
                      <w:b/>
                      <w:color w:val="000000"/>
                      <w:szCs w:val="21"/>
                    </w:rPr>
                    <w:t>路况</w:t>
                  </w:r>
                </w:p>
                <w:p>
                  <w:pPr>
                    <w:rPr>
                      <w:rFonts w:ascii="Times New Roman" w:hAnsi="Times New Roman"/>
                      <w:b/>
                      <w:color w:val="000000"/>
                      <w:szCs w:val="21"/>
                    </w:rPr>
                  </w:pPr>
                  <w:r>
                    <w:rPr>
                      <w:rFonts w:ascii="Times New Roman" w:hAnsi="宋体"/>
                      <w:b/>
                      <w:color w:val="000000"/>
                      <w:szCs w:val="21"/>
                    </w:rPr>
                    <w:t>车况</w:t>
                  </w:r>
                </w:p>
              </w:tc>
              <w:tc>
                <w:tcPr>
                  <w:tcW w:w="1230" w:type="dxa"/>
                  <w:tcBorders>
                    <w:tl2br w:val="nil"/>
                  </w:tcBorders>
                  <w:vAlign w:val="center"/>
                </w:tcPr>
                <w:p>
                  <w:pPr>
                    <w:jc w:val="center"/>
                    <w:rPr>
                      <w:rFonts w:ascii="Times New Roman" w:hAnsi="Times New Roman"/>
                      <w:b/>
                      <w:color w:val="000000"/>
                      <w:szCs w:val="21"/>
                    </w:rPr>
                  </w:pPr>
                  <w:r>
                    <w:rPr>
                      <w:rFonts w:ascii="Times New Roman" w:hAnsi="Times New Roman"/>
                      <w:b/>
                      <w:color w:val="000000"/>
                      <w:szCs w:val="21"/>
                    </w:rPr>
                    <w:t>0.1kg/m</w:t>
                  </w:r>
                  <w:r>
                    <w:rPr>
                      <w:rFonts w:ascii="Times New Roman" w:hAnsi="Times New Roman"/>
                      <w:b/>
                      <w:color w:val="000000"/>
                      <w:szCs w:val="21"/>
                      <w:vertAlign w:val="superscript"/>
                    </w:rPr>
                    <w:t>2</w:t>
                  </w:r>
                </w:p>
              </w:tc>
              <w:tc>
                <w:tcPr>
                  <w:tcW w:w="1233" w:type="dxa"/>
                  <w:tcBorders>
                    <w:tl2br w:val="nil"/>
                  </w:tcBorders>
                  <w:vAlign w:val="center"/>
                </w:tcPr>
                <w:p>
                  <w:pPr>
                    <w:jc w:val="center"/>
                    <w:rPr>
                      <w:rFonts w:ascii="Times New Roman" w:hAnsi="Times New Roman"/>
                      <w:b/>
                      <w:color w:val="000000"/>
                      <w:szCs w:val="21"/>
                    </w:rPr>
                  </w:pPr>
                  <w:r>
                    <w:rPr>
                      <w:rFonts w:ascii="Times New Roman" w:hAnsi="Times New Roman"/>
                      <w:b/>
                      <w:color w:val="000000"/>
                      <w:szCs w:val="21"/>
                    </w:rPr>
                    <w:t>0.2kg/m</w:t>
                  </w:r>
                  <w:r>
                    <w:rPr>
                      <w:rFonts w:ascii="Times New Roman" w:hAnsi="Times New Roman"/>
                      <w:b/>
                      <w:color w:val="000000"/>
                      <w:szCs w:val="21"/>
                      <w:vertAlign w:val="superscript"/>
                    </w:rPr>
                    <w:t>2</w:t>
                  </w:r>
                </w:p>
              </w:tc>
              <w:tc>
                <w:tcPr>
                  <w:tcW w:w="1231" w:type="dxa"/>
                  <w:tcBorders>
                    <w:tl2br w:val="nil"/>
                  </w:tcBorders>
                  <w:vAlign w:val="center"/>
                </w:tcPr>
                <w:p>
                  <w:pPr>
                    <w:jc w:val="center"/>
                    <w:rPr>
                      <w:rFonts w:ascii="Times New Roman" w:hAnsi="Times New Roman"/>
                      <w:b/>
                      <w:color w:val="000000"/>
                      <w:szCs w:val="21"/>
                    </w:rPr>
                  </w:pPr>
                  <w:r>
                    <w:rPr>
                      <w:rFonts w:ascii="Times New Roman" w:hAnsi="Times New Roman"/>
                      <w:b/>
                      <w:color w:val="000000"/>
                      <w:szCs w:val="21"/>
                    </w:rPr>
                    <w:t>0.3kg/m</w:t>
                  </w:r>
                  <w:r>
                    <w:rPr>
                      <w:rFonts w:ascii="Times New Roman" w:hAnsi="Times New Roman"/>
                      <w:b/>
                      <w:color w:val="000000"/>
                      <w:szCs w:val="21"/>
                      <w:vertAlign w:val="superscript"/>
                    </w:rPr>
                    <w:t>2</w:t>
                  </w:r>
                </w:p>
              </w:tc>
              <w:tc>
                <w:tcPr>
                  <w:tcW w:w="1233" w:type="dxa"/>
                  <w:tcBorders>
                    <w:tl2br w:val="nil"/>
                  </w:tcBorders>
                  <w:vAlign w:val="center"/>
                </w:tcPr>
                <w:p>
                  <w:pPr>
                    <w:jc w:val="center"/>
                    <w:rPr>
                      <w:rFonts w:ascii="Times New Roman" w:hAnsi="Times New Roman"/>
                      <w:b/>
                      <w:color w:val="000000"/>
                      <w:szCs w:val="21"/>
                    </w:rPr>
                  </w:pPr>
                  <w:r>
                    <w:rPr>
                      <w:rFonts w:ascii="Times New Roman" w:hAnsi="Times New Roman"/>
                      <w:b/>
                      <w:color w:val="000000"/>
                      <w:szCs w:val="21"/>
                    </w:rPr>
                    <w:t>0.4kg/m</w:t>
                  </w:r>
                  <w:r>
                    <w:rPr>
                      <w:rFonts w:ascii="Times New Roman" w:hAnsi="Times New Roman"/>
                      <w:b/>
                      <w:color w:val="000000"/>
                      <w:szCs w:val="21"/>
                      <w:vertAlign w:val="superscript"/>
                    </w:rPr>
                    <w:t>2</w:t>
                  </w:r>
                </w:p>
              </w:tc>
              <w:tc>
                <w:tcPr>
                  <w:tcW w:w="1231" w:type="dxa"/>
                  <w:tcBorders>
                    <w:tl2br w:val="nil"/>
                  </w:tcBorders>
                  <w:vAlign w:val="center"/>
                </w:tcPr>
                <w:p>
                  <w:pPr>
                    <w:jc w:val="center"/>
                    <w:rPr>
                      <w:rFonts w:ascii="Times New Roman" w:hAnsi="Times New Roman"/>
                      <w:b/>
                      <w:color w:val="000000"/>
                      <w:szCs w:val="21"/>
                    </w:rPr>
                  </w:pPr>
                  <w:r>
                    <w:rPr>
                      <w:rFonts w:ascii="Times New Roman" w:hAnsi="Times New Roman"/>
                      <w:b/>
                      <w:color w:val="000000"/>
                      <w:szCs w:val="21"/>
                    </w:rPr>
                    <w:t>0.5kg/m</w:t>
                  </w:r>
                  <w:r>
                    <w:rPr>
                      <w:rFonts w:ascii="Times New Roman" w:hAnsi="Times New Roman"/>
                      <w:b/>
                      <w:color w:val="000000"/>
                      <w:szCs w:val="21"/>
                      <w:vertAlign w:val="superscript"/>
                    </w:rPr>
                    <w:t>2</w:t>
                  </w:r>
                </w:p>
              </w:tc>
              <w:tc>
                <w:tcPr>
                  <w:tcW w:w="1231" w:type="dxa"/>
                  <w:tcBorders>
                    <w:tl2br w:val="nil"/>
                  </w:tcBorders>
                  <w:vAlign w:val="center"/>
                </w:tcPr>
                <w:p>
                  <w:pPr>
                    <w:jc w:val="center"/>
                    <w:rPr>
                      <w:rFonts w:ascii="Times New Roman" w:hAnsi="Times New Roman"/>
                      <w:b/>
                      <w:color w:val="000000"/>
                      <w:szCs w:val="21"/>
                    </w:rPr>
                  </w:pPr>
                  <w:r>
                    <w:rPr>
                      <w:rFonts w:ascii="Times New Roman" w:hAnsi="Times New Roman"/>
                      <w:b/>
                      <w:color w:val="000000"/>
                      <w:szCs w:val="21"/>
                    </w:rPr>
                    <w:t>0.6kg/m</w:t>
                  </w:r>
                  <w:r>
                    <w:rPr>
                      <w:rFonts w:ascii="Times New Roman" w:hAnsi="Times New Roman"/>
                      <w:b/>
                      <w:color w:val="00000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0" w:type="dxa"/>
                  <w:tcBorders>
                    <w:tl2br w:val="nil"/>
                  </w:tcBorders>
                  <w:vAlign w:val="center"/>
                </w:tcPr>
                <w:p>
                  <w:pPr>
                    <w:jc w:val="center"/>
                    <w:rPr>
                      <w:rFonts w:ascii="Times New Roman" w:hAnsi="Times New Roman"/>
                      <w:color w:val="000000"/>
                      <w:szCs w:val="21"/>
                    </w:rPr>
                  </w:pPr>
                  <w:r>
                    <w:rPr>
                      <w:rFonts w:ascii="Times New Roman" w:hAnsi="宋体"/>
                      <w:color w:val="000000"/>
                      <w:szCs w:val="21"/>
                    </w:rPr>
                    <w:t>空车</w:t>
                  </w:r>
                </w:p>
              </w:tc>
              <w:tc>
                <w:tcPr>
                  <w:tcW w:w="1230"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0.51</w:t>
                  </w:r>
                </w:p>
              </w:tc>
              <w:tc>
                <w:tcPr>
                  <w:tcW w:w="1233"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0.84</w:t>
                  </w:r>
                </w:p>
              </w:tc>
              <w:tc>
                <w:tcPr>
                  <w:tcW w:w="1231"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1.13</w:t>
                  </w:r>
                </w:p>
              </w:tc>
              <w:tc>
                <w:tcPr>
                  <w:tcW w:w="1233"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1.39</w:t>
                  </w:r>
                </w:p>
              </w:tc>
              <w:tc>
                <w:tcPr>
                  <w:tcW w:w="1231"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1.63</w:t>
                  </w:r>
                </w:p>
              </w:tc>
              <w:tc>
                <w:tcPr>
                  <w:tcW w:w="1231"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0" w:type="dxa"/>
                  <w:tcBorders>
                    <w:tl2br w:val="nil"/>
                  </w:tcBorders>
                  <w:vAlign w:val="center"/>
                </w:tcPr>
                <w:p>
                  <w:pPr>
                    <w:jc w:val="center"/>
                    <w:rPr>
                      <w:rFonts w:ascii="Times New Roman" w:hAnsi="Times New Roman"/>
                      <w:color w:val="000000"/>
                      <w:szCs w:val="21"/>
                    </w:rPr>
                  </w:pPr>
                  <w:r>
                    <w:rPr>
                      <w:rFonts w:ascii="Times New Roman" w:hAnsi="宋体"/>
                      <w:color w:val="000000"/>
                      <w:szCs w:val="21"/>
                    </w:rPr>
                    <w:t>重车</w:t>
                  </w:r>
                </w:p>
              </w:tc>
              <w:tc>
                <w:tcPr>
                  <w:tcW w:w="1230"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0.92</w:t>
                  </w:r>
                </w:p>
              </w:tc>
              <w:tc>
                <w:tcPr>
                  <w:tcW w:w="1233"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1.52</w:t>
                  </w:r>
                </w:p>
              </w:tc>
              <w:tc>
                <w:tcPr>
                  <w:tcW w:w="1231"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2.03</w:t>
                  </w:r>
                </w:p>
              </w:tc>
              <w:tc>
                <w:tcPr>
                  <w:tcW w:w="1233"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2.50</w:t>
                  </w:r>
                </w:p>
              </w:tc>
              <w:tc>
                <w:tcPr>
                  <w:tcW w:w="1231"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2.94</w:t>
                  </w:r>
                </w:p>
              </w:tc>
              <w:tc>
                <w:tcPr>
                  <w:tcW w:w="1231"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0" w:type="dxa"/>
                  <w:tcBorders>
                    <w:tl2br w:val="nil"/>
                  </w:tcBorders>
                  <w:vAlign w:val="center"/>
                </w:tcPr>
                <w:p>
                  <w:pPr>
                    <w:jc w:val="center"/>
                    <w:rPr>
                      <w:rFonts w:ascii="Times New Roman" w:hAnsi="Times New Roman"/>
                      <w:color w:val="000000"/>
                      <w:szCs w:val="21"/>
                    </w:rPr>
                  </w:pPr>
                  <w:r>
                    <w:rPr>
                      <w:rFonts w:ascii="Times New Roman" w:hAnsi="宋体"/>
                      <w:color w:val="000000"/>
                      <w:szCs w:val="21"/>
                    </w:rPr>
                    <w:t>合计</w:t>
                  </w:r>
                </w:p>
              </w:tc>
              <w:tc>
                <w:tcPr>
                  <w:tcW w:w="1230"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1.43</w:t>
                  </w:r>
                </w:p>
              </w:tc>
              <w:tc>
                <w:tcPr>
                  <w:tcW w:w="1233"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2.36</w:t>
                  </w:r>
                </w:p>
              </w:tc>
              <w:tc>
                <w:tcPr>
                  <w:tcW w:w="1231"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2.16</w:t>
                  </w:r>
                </w:p>
              </w:tc>
              <w:tc>
                <w:tcPr>
                  <w:tcW w:w="1233"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3.89</w:t>
                  </w:r>
                </w:p>
              </w:tc>
              <w:tc>
                <w:tcPr>
                  <w:tcW w:w="1231"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4.57</w:t>
                  </w:r>
                </w:p>
              </w:tc>
              <w:tc>
                <w:tcPr>
                  <w:tcW w:w="1231" w:type="dxa"/>
                  <w:tcBorders>
                    <w:tl2br w:val="nil"/>
                  </w:tcBorders>
                  <w:vAlign w:val="center"/>
                </w:tcPr>
                <w:p>
                  <w:pPr>
                    <w:jc w:val="center"/>
                    <w:rPr>
                      <w:rFonts w:ascii="宋体" w:hAnsi="宋体" w:cs="宋体"/>
                      <w:color w:val="000000"/>
                      <w:sz w:val="24"/>
                      <w:szCs w:val="24"/>
                    </w:rPr>
                  </w:pPr>
                  <w:r>
                    <w:rPr>
                      <w:rFonts w:hint="eastAsia" w:ascii="Times New Roman" w:hAnsi="Times New Roman"/>
                      <w:color w:val="000000"/>
                    </w:rPr>
                    <w:t>5.21</w:t>
                  </w:r>
                </w:p>
              </w:tc>
            </w:tr>
          </w:tbl>
          <w:p>
            <w:pPr>
              <w:spacing w:beforeLines="50" w:line="360" w:lineRule="auto"/>
              <w:ind w:firstLine="480" w:firstLineChars="200"/>
              <w:rPr>
                <w:rFonts w:ascii="Times New Roman" w:hAnsi="Times New Roman"/>
                <w:color w:val="000000"/>
                <w:sz w:val="24"/>
              </w:rPr>
            </w:pPr>
            <w:r>
              <w:rPr>
                <w:rFonts w:ascii="Times New Roman" w:hAnsi="Times New Roman"/>
                <w:color w:val="000000"/>
                <w:sz w:val="24"/>
              </w:rPr>
              <w:t>根据本项目的情况，要求项目建设方对站区内地面定期派专人进行路面清扫、洒水，以减少道路扬尘。基于这种情况，本环评对道路路况以0.2 kg/m</w:t>
            </w:r>
            <w:r>
              <w:rPr>
                <w:rFonts w:ascii="Times New Roman" w:hAnsi="Times New Roman"/>
                <w:color w:val="000000"/>
                <w:sz w:val="24"/>
                <w:vertAlign w:val="superscript"/>
              </w:rPr>
              <w:t>2</w:t>
            </w:r>
            <w:r>
              <w:rPr>
                <w:rFonts w:ascii="Times New Roman" w:hAnsi="Times New Roman"/>
                <w:color w:val="000000"/>
                <w:sz w:val="24"/>
              </w:rPr>
              <w:t>计，降尘效率为70%，则项目汽车动力起尘量为0.21t/a。</w:t>
            </w:r>
          </w:p>
          <w:p>
            <w:pPr>
              <w:spacing w:line="360" w:lineRule="auto"/>
              <w:ind w:firstLine="480" w:firstLineChars="200"/>
              <w:rPr>
                <w:rFonts w:ascii="Times New Roman" w:hAnsi="Times New Roman"/>
                <w:color w:val="000000"/>
                <w:sz w:val="24"/>
              </w:rPr>
            </w:pPr>
            <w:r>
              <w:rPr>
                <w:rFonts w:hint="eastAsia" w:ascii="宋体" w:hAnsi="宋体" w:cs="宋体"/>
                <w:color w:val="000000"/>
                <w:sz w:val="24"/>
              </w:rPr>
              <w:t>⑤</w:t>
            </w:r>
            <w:r>
              <w:rPr>
                <w:rFonts w:ascii="Times New Roman" w:hAnsi="Times New Roman"/>
                <w:color w:val="000000"/>
                <w:sz w:val="24"/>
              </w:rPr>
              <w:t>项目粉尘年总排放量</w:t>
            </w:r>
          </w:p>
          <w:p>
            <w:pPr>
              <w:spacing w:line="360" w:lineRule="auto"/>
              <w:ind w:firstLine="480" w:firstLineChars="200"/>
              <w:rPr>
                <w:rFonts w:ascii="Times New Roman" w:hAnsi="Times New Roman"/>
                <w:color w:val="000000"/>
                <w:sz w:val="24"/>
              </w:rPr>
            </w:pPr>
            <w:r>
              <w:rPr>
                <w:rFonts w:ascii="Times New Roman" w:hAnsi="Times New Roman"/>
                <w:color w:val="000000"/>
                <w:sz w:val="24"/>
              </w:rPr>
              <w:t>项目合计粉尘排放量3.624t/a，</w:t>
            </w:r>
            <w:r>
              <w:rPr>
                <w:rFonts w:ascii="Times New Roman" w:hAnsi="Times New Roman"/>
                <w:color w:val="000000"/>
                <w:sz w:val="24"/>
                <w:szCs w:val="24"/>
              </w:rPr>
              <w:t>即</w:t>
            </w:r>
            <w:r>
              <w:rPr>
                <w:rFonts w:hint="eastAsia" w:ascii="Times New Roman" w:hAnsi="Times New Roman"/>
                <w:color w:val="000000"/>
                <w:sz w:val="24"/>
                <w:szCs w:val="24"/>
              </w:rPr>
              <w:t>1.51</w:t>
            </w:r>
            <w:r>
              <w:rPr>
                <w:rFonts w:ascii="Times New Roman" w:hAnsi="Times New Roman"/>
                <w:color w:val="000000"/>
                <w:sz w:val="24"/>
                <w:szCs w:val="24"/>
              </w:rPr>
              <w:t>kg/h，</w:t>
            </w:r>
            <w:r>
              <w:rPr>
                <w:rFonts w:ascii="Times New Roman" w:hAnsi="Times New Roman"/>
                <w:color w:val="000000"/>
                <w:sz w:val="24"/>
              </w:rPr>
              <w:t>均为无组织。</w:t>
            </w:r>
          </w:p>
          <w:p>
            <w:pPr>
              <w:spacing w:line="360" w:lineRule="auto"/>
              <w:ind w:firstLine="480" w:firstLineChars="200"/>
              <w:rPr>
                <w:rFonts w:ascii="Times New Roman" w:hAnsi="Times New Roman"/>
                <w:color w:val="000000"/>
                <w:sz w:val="24"/>
              </w:rPr>
            </w:pPr>
            <w:r>
              <w:rPr>
                <w:rFonts w:ascii="Times New Roman" w:hAnsi="Times New Roman"/>
                <w:color w:val="000000"/>
                <w:sz w:val="24"/>
              </w:rPr>
              <w:t>（2）汽车尾气</w:t>
            </w:r>
            <w:r>
              <w:rPr>
                <w:rFonts w:ascii="Times New Roman" w:hAnsi="Times New Roman"/>
                <w:color w:val="000000"/>
                <w:sz w:val="24"/>
                <w:szCs w:val="24"/>
              </w:rPr>
              <w:t>：项目汽车在场地内运输会产生一定量的汽车尾气，主要污染主要污染物有CO、NOx、THC。</w:t>
            </w:r>
          </w:p>
          <w:p>
            <w:pPr>
              <w:spacing w:line="360" w:lineRule="auto"/>
              <w:ind w:firstLine="480" w:firstLineChars="200"/>
              <w:rPr>
                <w:rFonts w:ascii="Times New Roman" w:hAnsi="Times New Roman"/>
                <w:color w:val="000000"/>
                <w:sz w:val="24"/>
                <w:szCs w:val="24"/>
              </w:rPr>
            </w:pPr>
            <w:r>
              <w:rPr>
                <w:rFonts w:ascii="Times New Roman" w:hAnsi="宋体"/>
                <w:color w:val="000000"/>
                <w:sz w:val="24"/>
                <w:szCs w:val="24"/>
              </w:rPr>
              <w:t>（</w:t>
            </w:r>
            <w:r>
              <w:rPr>
                <w:rFonts w:ascii="Times New Roman" w:hAnsi="Times New Roman"/>
                <w:color w:val="000000"/>
                <w:sz w:val="24"/>
                <w:szCs w:val="24"/>
              </w:rPr>
              <w:t>3</w:t>
            </w:r>
            <w:r>
              <w:rPr>
                <w:rFonts w:ascii="Times New Roman" w:hAnsi="宋体"/>
                <w:color w:val="000000"/>
                <w:sz w:val="24"/>
                <w:szCs w:val="24"/>
              </w:rPr>
              <w:t>）厨房油烟</w:t>
            </w:r>
            <w:r>
              <w:rPr>
                <w:rFonts w:ascii="Times New Roman" w:hAnsi="Times New Roman"/>
                <w:color w:val="000000"/>
                <w:sz w:val="24"/>
                <w:szCs w:val="24"/>
              </w:rPr>
              <w:t>：项目食堂在烹饪过程中产生一定的油烟。根据建设方提供的资料，</w:t>
            </w:r>
            <w:r>
              <w:rPr>
                <w:rFonts w:ascii="Times New Roman" w:hAnsi="Times New Roman"/>
                <w:color w:val="000000"/>
                <w:sz w:val="24"/>
                <w:szCs w:val="24"/>
                <w:lang w:val="zh-CN"/>
              </w:rPr>
              <w:t>该</w:t>
            </w:r>
            <w:r>
              <w:rPr>
                <w:rFonts w:ascii="Times New Roman" w:hAnsi="Times New Roman"/>
                <w:color w:val="000000"/>
                <w:sz w:val="24"/>
                <w:szCs w:val="24"/>
              </w:rPr>
              <w:t>项目厨房设</w:t>
            </w:r>
            <w:r>
              <w:rPr>
                <w:rFonts w:ascii="Times New Roman" w:hAnsi="Times New Roman"/>
                <w:bCs/>
                <w:color w:val="000000"/>
                <w:sz w:val="24"/>
                <w:szCs w:val="24"/>
              </w:rPr>
              <w:t>1个炒炉</w:t>
            </w:r>
            <w:r>
              <w:rPr>
                <w:rFonts w:ascii="Times New Roman" w:hAnsi="Times New Roman"/>
                <w:color w:val="000000"/>
                <w:sz w:val="24"/>
                <w:szCs w:val="24"/>
              </w:rPr>
              <w:t>（每天烹饪3小时），烹饪时所产生的烟气量约为2000m</w:t>
            </w:r>
            <w:r>
              <w:rPr>
                <w:rFonts w:ascii="Times New Roman" w:hAnsi="Times New Roman"/>
                <w:color w:val="000000"/>
                <w:sz w:val="24"/>
                <w:szCs w:val="24"/>
                <w:vertAlign w:val="superscript"/>
              </w:rPr>
              <w:t>3</w:t>
            </w:r>
            <w:r>
              <w:rPr>
                <w:rFonts w:ascii="Times New Roman" w:hAnsi="Times New Roman"/>
                <w:color w:val="000000"/>
                <w:sz w:val="24"/>
                <w:szCs w:val="24"/>
              </w:rPr>
              <w:t>/h。就餐人数约40人，按照每人每天10g食用油，其食用油日用量约为0.4kg/d，耗油为0.12t/a。</w:t>
            </w:r>
            <w:r>
              <w:rPr>
                <w:rFonts w:ascii="Times New Roman" w:hAnsi="Times New Roman"/>
                <w:color w:val="000000"/>
                <w:spacing w:val="-2"/>
                <w:sz w:val="24"/>
                <w:szCs w:val="24"/>
              </w:rPr>
              <w:t>一般油烟挥发量占耗油量的2.0%，经估算，项目产生油烟量为0.008kg/d，产生油烟量为2.4kg/a，则该项目油烟的产生量为0.003kg/h，产生浓度为1.5mg/m</w:t>
            </w:r>
            <w:r>
              <w:rPr>
                <w:rFonts w:ascii="Times New Roman" w:hAnsi="Times New Roman"/>
                <w:color w:val="000000"/>
                <w:spacing w:val="-2"/>
                <w:sz w:val="24"/>
                <w:szCs w:val="24"/>
                <w:vertAlign w:val="superscript"/>
              </w:rPr>
              <w:t>3</w:t>
            </w:r>
            <w:r>
              <w:rPr>
                <w:rFonts w:ascii="Times New Roman" w:hAnsi="Times New Roman"/>
                <w:color w:val="000000"/>
                <w:sz w:val="24"/>
                <w:szCs w:val="24"/>
              </w:rPr>
              <w:t>。</w:t>
            </w:r>
            <w:r>
              <w:rPr>
                <w:rFonts w:ascii="Times New Roman" w:hAnsi="Times New Roman"/>
                <w:color w:val="000000"/>
                <w:spacing w:val="-2"/>
                <w:sz w:val="24"/>
                <w:szCs w:val="24"/>
              </w:rPr>
              <w:t>另外</w:t>
            </w:r>
            <w:r>
              <w:rPr>
                <w:rFonts w:ascii="Times New Roman" w:hAnsi="Times New Roman"/>
                <w:color w:val="000000"/>
                <w:sz w:val="24"/>
                <w:szCs w:val="24"/>
              </w:rPr>
              <w:t>食堂使用</w:t>
            </w:r>
            <w:r>
              <w:rPr>
                <w:rFonts w:hint="eastAsia" w:ascii="Times New Roman" w:hAnsi="Times New Roman"/>
                <w:color w:val="000000"/>
                <w:sz w:val="24"/>
                <w:szCs w:val="24"/>
              </w:rPr>
              <w:t>液化石油气</w:t>
            </w:r>
            <w:r>
              <w:rPr>
                <w:rFonts w:ascii="Times New Roman" w:hAnsi="Times New Roman"/>
                <w:color w:val="000000"/>
                <w:sz w:val="24"/>
                <w:szCs w:val="24"/>
              </w:rPr>
              <w:t>为能源，为清洁能源，其产生的废气忽略不计。</w:t>
            </w:r>
          </w:p>
          <w:p>
            <w:pPr>
              <w:adjustRightInd w:val="0"/>
              <w:snapToGrid w:val="0"/>
              <w:spacing w:line="360" w:lineRule="auto"/>
              <w:ind w:firstLine="480" w:firstLineChars="200"/>
              <w:rPr>
                <w:rFonts w:ascii="Times New Roman" w:hAnsi="Times New Roman"/>
                <w:color w:val="000000" w:themeColor="text1"/>
                <w:sz w:val="24"/>
              </w:rPr>
            </w:pPr>
            <w:r>
              <w:rPr>
                <w:rFonts w:hint="eastAsia" w:ascii="Times New Roman" w:hAnsi="Times New Roman"/>
                <w:color w:val="000000"/>
                <w:sz w:val="24"/>
                <w:szCs w:val="24"/>
              </w:rPr>
              <w:t>（4）发电机废气：</w:t>
            </w:r>
            <w:r>
              <w:rPr>
                <w:rFonts w:ascii="Times New Roman" w:hAnsi="宋体"/>
                <w:color w:val="000000" w:themeColor="text1"/>
                <w:sz w:val="24"/>
              </w:rPr>
              <w:t>项目发电机房内设置</w:t>
            </w:r>
            <w:r>
              <w:rPr>
                <w:rFonts w:hint="eastAsia" w:ascii="Times New Roman" w:hAnsi="Times New Roman"/>
                <w:color w:val="000000" w:themeColor="text1"/>
                <w:sz w:val="24"/>
              </w:rPr>
              <w:t>1</w:t>
            </w:r>
            <w:r>
              <w:rPr>
                <w:rFonts w:ascii="Times New Roman" w:hAnsi="宋体"/>
                <w:color w:val="000000" w:themeColor="text1"/>
                <w:sz w:val="24"/>
              </w:rPr>
              <w:t>台功率为</w:t>
            </w:r>
            <w:r>
              <w:rPr>
                <w:rFonts w:hint="eastAsia" w:ascii="Times New Roman" w:hAnsi="Times New Roman"/>
                <w:color w:val="000000" w:themeColor="text1"/>
                <w:sz w:val="24"/>
              </w:rPr>
              <w:t>320</w:t>
            </w:r>
            <w:r>
              <w:rPr>
                <w:rFonts w:ascii="Times New Roman" w:hAnsi="Times New Roman"/>
                <w:color w:val="000000" w:themeColor="text1"/>
                <w:sz w:val="24"/>
              </w:rPr>
              <w:t>KW</w:t>
            </w:r>
            <w:r>
              <w:rPr>
                <w:rFonts w:ascii="Times New Roman" w:hAnsi="宋体"/>
                <w:color w:val="000000" w:themeColor="text1"/>
                <w:sz w:val="24"/>
              </w:rPr>
              <w:t>备用发电机，备用发电机使用时会产生燃油废气。由于备用发电机使用次数很少（仅限紧急停用时供电使用），且油料为</w:t>
            </w:r>
            <w:r>
              <w:rPr>
                <w:rFonts w:ascii="Times New Roman" w:hAnsi="Times New Roman"/>
                <w:color w:val="000000" w:themeColor="text1"/>
                <w:sz w:val="24"/>
              </w:rPr>
              <w:t>0</w:t>
            </w:r>
            <w:r>
              <w:rPr>
                <w:rFonts w:ascii="Times New Roman" w:hAnsi="Times New Roman"/>
                <w:color w:val="000000" w:themeColor="text1"/>
                <w:sz w:val="24"/>
                <w:vertAlign w:val="superscript"/>
              </w:rPr>
              <w:t>#</w:t>
            </w:r>
            <w:r>
              <w:rPr>
                <w:rFonts w:ascii="Times New Roman" w:hAnsi="宋体"/>
                <w:color w:val="000000" w:themeColor="text1"/>
                <w:sz w:val="24"/>
              </w:rPr>
              <w:t>柴油，产生废气过程主要发电机日常维护（每</w:t>
            </w:r>
            <w:r>
              <w:rPr>
                <w:rFonts w:ascii="Times New Roman" w:hAnsi="Times New Roman"/>
                <w:color w:val="000000" w:themeColor="text1"/>
                <w:sz w:val="24"/>
              </w:rPr>
              <w:t>1-2</w:t>
            </w:r>
            <w:r>
              <w:rPr>
                <w:rFonts w:ascii="Times New Roman" w:hAnsi="宋体"/>
                <w:color w:val="000000" w:themeColor="text1"/>
                <w:sz w:val="24"/>
              </w:rPr>
              <w:t>月开启运行一次，以维持其稳定运行性能）时，项目初步设计燃油废气经专用烟道（竖井）至楼顶高空排放，对周围环境影响较小。</w:t>
            </w:r>
          </w:p>
          <w:p>
            <w:pPr>
              <w:spacing w:line="360" w:lineRule="auto"/>
              <w:ind w:firstLine="482" w:firstLineChars="200"/>
              <w:rPr>
                <w:rFonts w:ascii="Times New Roman" w:hAnsi="Times New Roman"/>
                <w:b/>
                <w:color w:val="000000"/>
                <w:sz w:val="24"/>
                <w:szCs w:val="24"/>
              </w:rPr>
            </w:pPr>
            <w:r>
              <w:rPr>
                <w:rFonts w:ascii="Times New Roman" w:hAnsi="Times New Roman"/>
                <w:b/>
                <w:color w:val="000000"/>
                <w:kern w:val="0"/>
                <w:sz w:val="24"/>
                <w:szCs w:val="24"/>
              </w:rPr>
              <w:t>3</w:t>
            </w:r>
            <w:r>
              <w:rPr>
                <w:rFonts w:ascii="Times New Roman" w:hAnsi="宋体"/>
                <w:b/>
                <w:color w:val="000000"/>
                <w:kern w:val="0"/>
                <w:sz w:val="24"/>
                <w:szCs w:val="24"/>
              </w:rPr>
              <w:t>、噪声</w:t>
            </w:r>
          </w:p>
          <w:p>
            <w:pPr>
              <w:snapToGrid w:val="0"/>
              <w:spacing w:line="360" w:lineRule="auto"/>
              <w:ind w:firstLine="420"/>
              <w:rPr>
                <w:rFonts w:ascii="Times New Roman" w:hAnsi="宋体"/>
                <w:color w:val="000000"/>
                <w:sz w:val="24"/>
                <w:szCs w:val="24"/>
              </w:rPr>
            </w:pPr>
            <w:r>
              <w:rPr>
                <w:rFonts w:ascii="Times New Roman" w:hAnsi="宋体"/>
                <w:color w:val="000000"/>
                <w:sz w:val="24"/>
                <w:szCs w:val="24"/>
              </w:rPr>
              <w:t>项目混凝土生产线、输送机、搅拌运输车（</w:t>
            </w:r>
            <w:r>
              <w:rPr>
                <w:rFonts w:ascii="Times New Roman" w:hAnsi="Times New Roman"/>
                <w:color w:val="000000"/>
                <w:sz w:val="24"/>
                <w:szCs w:val="24"/>
              </w:rPr>
              <w:t>N</w:t>
            </w:r>
            <w:r>
              <w:rPr>
                <w:rFonts w:ascii="Times New Roman" w:hAnsi="Times New Roman"/>
                <w:color w:val="000000"/>
                <w:sz w:val="24"/>
                <w:szCs w:val="24"/>
                <w:vertAlign w:val="subscript"/>
              </w:rPr>
              <w:t>1</w:t>
            </w:r>
            <w:r>
              <w:rPr>
                <w:rFonts w:ascii="Times New Roman" w:hAnsi="宋体"/>
                <w:color w:val="000000"/>
                <w:sz w:val="24"/>
                <w:szCs w:val="24"/>
              </w:rPr>
              <w:t>）会产生一定的机械噪声，项目主要设备源强及安装位置情况见表</w:t>
            </w:r>
            <w:r>
              <w:rPr>
                <w:rFonts w:ascii="Times New Roman" w:hAnsi="Times New Roman"/>
                <w:color w:val="000000"/>
                <w:sz w:val="24"/>
                <w:szCs w:val="24"/>
              </w:rPr>
              <w:t>1</w:t>
            </w:r>
            <w:r>
              <w:rPr>
                <w:rFonts w:hint="eastAsia" w:ascii="Times New Roman" w:hAnsi="Times New Roman"/>
                <w:color w:val="000000"/>
                <w:sz w:val="24"/>
                <w:szCs w:val="24"/>
              </w:rPr>
              <w:t>0</w:t>
            </w:r>
            <w:r>
              <w:rPr>
                <w:rFonts w:ascii="Times New Roman" w:hAnsi="宋体"/>
                <w:color w:val="000000"/>
                <w:sz w:val="24"/>
                <w:szCs w:val="24"/>
              </w:rPr>
              <w:t>：</w:t>
            </w:r>
          </w:p>
          <w:p>
            <w:pPr>
              <w:snapToGrid w:val="0"/>
              <w:spacing w:line="360" w:lineRule="auto"/>
              <w:ind w:firstLine="420"/>
              <w:rPr>
                <w:rFonts w:ascii="Times New Roman" w:hAnsi="宋体"/>
                <w:color w:val="000000"/>
                <w:sz w:val="24"/>
                <w:szCs w:val="24"/>
              </w:rPr>
            </w:pPr>
          </w:p>
          <w:p>
            <w:pPr>
              <w:snapToGrid w:val="0"/>
              <w:spacing w:line="360" w:lineRule="auto"/>
              <w:ind w:firstLine="420"/>
              <w:jc w:val="center"/>
              <w:rPr>
                <w:rFonts w:ascii="Times New Roman" w:hAnsi="Times New Roman"/>
                <w:b/>
                <w:color w:val="000000"/>
                <w:sz w:val="24"/>
                <w:szCs w:val="24"/>
              </w:rPr>
            </w:pPr>
            <w:r>
              <w:rPr>
                <w:rFonts w:ascii="Times New Roman" w:hAnsi="Times New Roman"/>
                <w:b/>
                <w:color w:val="000000"/>
                <w:sz w:val="24"/>
                <w:szCs w:val="24"/>
              </w:rPr>
              <w:t>表1</w:t>
            </w:r>
            <w:r>
              <w:rPr>
                <w:rFonts w:hint="eastAsia" w:ascii="Times New Roman" w:hAnsi="Times New Roman"/>
                <w:b/>
                <w:color w:val="000000"/>
                <w:sz w:val="24"/>
                <w:szCs w:val="24"/>
              </w:rPr>
              <w:t>0</w:t>
            </w:r>
            <w:r>
              <w:rPr>
                <w:rFonts w:ascii="Times New Roman" w:hAnsi="Times New Roman"/>
                <w:b/>
                <w:color w:val="000000"/>
                <w:sz w:val="24"/>
                <w:szCs w:val="24"/>
              </w:rPr>
              <w:t xml:space="preserve"> </w:t>
            </w:r>
            <w:r>
              <w:rPr>
                <w:rFonts w:hint="eastAsia" w:ascii="Times New Roman" w:hAnsi="Times New Roman"/>
                <w:b/>
                <w:color w:val="000000"/>
                <w:sz w:val="24"/>
                <w:szCs w:val="24"/>
              </w:rPr>
              <w:t xml:space="preserve"> </w:t>
            </w:r>
            <w:r>
              <w:rPr>
                <w:rFonts w:ascii="Times New Roman" w:hAnsi="Times New Roman"/>
                <w:b/>
                <w:color w:val="000000"/>
                <w:sz w:val="24"/>
                <w:szCs w:val="24"/>
              </w:rPr>
              <w:t>项目主要噪声源情况表</w:t>
            </w:r>
          </w:p>
          <w:tbl>
            <w:tblPr>
              <w:tblStyle w:val="27"/>
              <w:tblW w:w="827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5"/>
              <w:gridCol w:w="2672"/>
              <w:gridCol w:w="1865"/>
              <w:gridCol w:w="20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5" w:type="dxa"/>
                  <w:vAlign w:val="center"/>
                </w:tcPr>
                <w:p>
                  <w:pPr>
                    <w:snapToGrid w:val="0"/>
                    <w:jc w:val="center"/>
                    <w:rPr>
                      <w:rFonts w:ascii="Times New Roman" w:hAnsi="Times New Roman"/>
                      <w:b/>
                      <w:color w:val="000000"/>
                      <w:szCs w:val="21"/>
                    </w:rPr>
                  </w:pPr>
                  <w:r>
                    <w:rPr>
                      <w:rFonts w:ascii="Times New Roman" w:hAnsi="宋体"/>
                      <w:b/>
                      <w:color w:val="000000"/>
                      <w:szCs w:val="21"/>
                    </w:rPr>
                    <w:t>设备名称</w:t>
                  </w:r>
                </w:p>
              </w:tc>
              <w:tc>
                <w:tcPr>
                  <w:tcW w:w="2672" w:type="dxa"/>
                  <w:vAlign w:val="center"/>
                </w:tcPr>
                <w:p>
                  <w:pPr>
                    <w:snapToGrid w:val="0"/>
                    <w:jc w:val="center"/>
                    <w:rPr>
                      <w:rFonts w:ascii="Times New Roman" w:hAnsi="Times New Roman"/>
                      <w:b/>
                      <w:color w:val="000000"/>
                      <w:szCs w:val="21"/>
                    </w:rPr>
                  </w:pPr>
                  <w:r>
                    <w:rPr>
                      <w:rFonts w:ascii="Times New Roman" w:hAnsi="宋体"/>
                      <w:b/>
                      <w:color w:val="000000"/>
                      <w:szCs w:val="21"/>
                    </w:rPr>
                    <w:t>源强（设备</w:t>
                  </w:r>
                  <w:r>
                    <w:rPr>
                      <w:rFonts w:ascii="Times New Roman" w:hAnsi="Times New Roman"/>
                      <w:b/>
                      <w:color w:val="000000"/>
                      <w:szCs w:val="21"/>
                    </w:rPr>
                    <w:t>1m</w:t>
                  </w:r>
                  <w:r>
                    <w:rPr>
                      <w:rFonts w:ascii="Times New Roman" w:hAnsi="宋体"/>
                      <w:b/>
                      <w:color w:val="000000"/>
                      <w:szCs w:val="21"/>
                    </w:rPr>
                    <w:t>处的噪声级）</w:t>
                  </w:r>
                </w:p>
              </w:tc>
              <w:tc>
                <w:tcPr>
                  <w:tcW w:w="1865" w:type="dxa"/>
                  <w:vAlign w:val="center"/>
                </w:tcPr>
                <w:p>
                  <w:pPr>
                    <w:snapToGrid w:val="0"/>
                    <w:jc w:val="center"/>
                    <w:rPr>
                      <w:rFonts w:ascii="Times New Roman" w:hAnsi="Times New Roman"/>
                      <w:b/>
                      <w:color w:val="000000"/>
                      <w:szCs w:val="21"/>
                    </w:rPr>
                  </w:pPr>
                  <w:r>
                    <w:rPr>
                      <w:rFonts w:ascii="Times New Roman" w:hAnsi="宋体"/>
                      <w:b/>
                      <w:color w:val="000000"/>
                      <w:szCs w:val="21"/>
                    </w:rPr>
                    <w:t>安装位置</w:t>
                  </w:r>
                </w:p>
              </w:tc>
              <w:tc>
                <w:tcPr>
                  <w:tcW w:w="2030" w:type="dxa"/>
                  <w:vAlign w:val="center"/>
                </w:tcPr>
                <w:p>
                  <w:pPr>
                    <w:snapToGrid w:val="0"/>
                    <w:jc w:val="center"/>
                    <w:rPr>
                      <w:rFonts w:ascii="Times New Roman" w:hAnsi="Times New Roman"/>
                      <w:b/>
                      <w:color w:val="000000"/>
                      <w:szCs w:val="21"/>
                    </w:rPr>
                  </w:pPr>
                  <w:r>
                    <w:rPr>
                      <w:rFonts w:ascii="Times New Roman" w:hAnsi="宋体"/>
                      <w:b/>
                      <w:color w:val="000000"/>
                      <w:szCs w:val="21"/>
                    </w:rPr>
                    <w:t>距最近厂界距离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5" w:type="dxa"/>
                  <w:vAlign w:val="center"/>
                </w:tcPr>
                <w:p>
                  <w:pPr>
                    <w:snapToGrid w:val="0"/>
                    <w:jc w:val="center"/>
                    <w:rPr>
                      <w:rFonts w:ascii="Times New Roman" w:hAnsi="Times New Roman"/>
                      <w:bCs/>
                      <w:color w:val="000000"/>
                      <w:szCs w:val="21"/>
                    </w:rPr>
                  </w:pPr>
                  <w:r>
                    <w:rPr>
                      <w:rFonts w:ascii="Times New Roman" w:hAnsi="宋体"/>
                      <w:color w:val="000000"/>
                      <w:kern w:val="0"/>
                      <w:szCs w:val="21"/>
                    </w:rPr>
                    <w:t>混凝土生产线</w:t>
                  </w:r>
                </w:p>
              </w:tc>
              <w:tc>
                <w:tcPr>
                  <w:tcW w:w="2672" w:type="dxa"/>
                  <w:vAlign w:val="center"/>
                </w:tcPr>
                <w:p>
                  <w:pPr>
                    <w:snapToGrid w:val="0"/>
                    <w:jc w:val="center"/>
                    <w:rPr>
                      <w:rFonts w:ascii="Times New Roman" w:hAnsi="Times New Roman"/>
                      <w:color w:val="000000"/>
                      <w:szCs w:val="21"/>
                    </w:rPr>
                  </w:pPr>
                  <w:r>
                    <w:rPr>
                      <w:rFonts w:ascii="Times New Roman" w:hAnsi="宋体"/>
                      <w:color w:val="000000"/>
                      <w:szCs w:val="21"/>
                    </w:rPr>
                    <w:t>约</w:t>
                  </w:r>
                  <w:r>
                    <w:rPr>
                      <w:rFonts w:ascii="Times New Roman" w:hAnsi="Times New Roman"/>
                      <w:color w:val="000000"/>
                      <w:szCs w:val="21"/>
                    </w:rPr>
                    <w:t>85dB(A)</w:t>
                  </w:r>
                </w:p>
              </w:tc>
              <w:tc>
                <w:tcPr>
                  <w:tcW w:w="1865" w:type="dxa"/>
                  <w:vAlign w:val="center"/>
                </w:tcPr>
                <w:p>
                  <w:pPr>
                    <w:snapToGrid w:val="0"/>
                    <w:jc w:val="center"/>
                    <w:rPr>
                      <w:rFonts w:ascii="Times New Roman" w:hAnsi="Times New Roman"/>
                      <w:color w:val="000000"/>
                      <w:szCs w:val="21"/>
                    </w:rPr>
                  </w:pPr>
                  <w:r>
                    <w:rPr>
                      <w:rFonts w:ascii="Times New Roman" w:hAnsi="宋体"/>
                      <w:color w:val="000000"/>
                      <w:szCs w:val="21"/>
                    </w:rPr>
                    <w:t>中部（室外）</w:t>
                  </w:r>
                </w:p>
              </w:tc>
              <w:tc>
                <w:tcPr>
                  <w:tcW w:w="2030" w:type="dxa"/>
                  <w:vAlign w:val="center"/>
                </w:tcPr>
                <w:p>
                  <w:pPr>
                    <w:snapToGrid w:val="0"/>
                    <w:jc w:val="center"/>
                    <w:rPr>
                      <w:rFonts w:ascii="Times New Roman" w:hAnsi="Times New Roman"/>
                      <w:color w:val="000000"/>
                      <w:szCs w:val="21"/>
                    </w:rPr>
                  </w:pPr>
                  <w:r>
                    <w:rPr>
                      <w:rFonts w:ascii="Times New Roman" w:hAnsi="Times New Roman"/>
                      <w:color w:val="000000"/>
                      <w:szCs w:val="21"/>
                    </w:rPr>
                    <w:t>2</w:t>
                  </w:r>
                  <w:r>
                    <w:rPr>
                      <w:rFonts w:ascii="Times New Roman" w:hAnsi="宋体"/>
                      <w:color w:val="000000"/>
                      <w:szCs w:val="21"/>
                    </w:rPr>
                    <w:t>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5" w:type="dxa"/>
                  <w:vAlign w:val="center"/>
                </w:tcPr>
                <w:p>
                  <w:pPr>
                    <w:snapToGrid w:val="0"/>
                    <w:jc w:val="center"/>
                    <w:rPr>
                      <w:rFonts w:ascii="Times New Roman" w:hAnsi="Times New Roman"/>
                      <w:bCs/>
                      <w:color w:val="000000"/>
                      <w:szCs w:val="21"/>
                    </w:rPr>
                  </w:pPr>
                  <w:r>
                    <w:rPr>
                      <w:rFonts w:ascii="Times New Roman" w:hAnsi="宋体"/>
                      <w:color w:val="000000"/>
                      <w:kern w:val="0"/>
                      <w:szCs w:val="21"/>
                    </w:rPr>
                    <w:t>输送机</w:t>
                  </w:r>
                </w:p>
              </w:tc>
              <w:tc>
                <w:tcPr>
                  <w:tcW w:w="2672" w:type="dxa"/>
                  <w:vAlign w:val="center"/>
                </w:tcPr>
                <w:p>
                  <w:pPr>
                    <w:snapToGrid w:val="0"/>
                    <w:jc w:val="center"/>
                    <w:rPr>
                      <w:rFonts w:ascii="Times New Roman" w:hAnsi="Times New Roman"/>
                      <w:color w:val="000000"/>
                      <w:szCs w:val="21"/>
                    </w:rPr>
                  </w:pPr>
                  <w:r>
                    <w:rPr>
                      <w:rFonts w:ascii="Times New Roman" w:hAnsi="宋体"/>
                      <w:color w:val="000000"/>
                      <w:szCs w:val="21"/>
                    </w:rPr>
                    <w:t>约</w:t>
                  </w:r>
                  <w:r>
                    <w:rPr>
                      <w:rFonts w:ascii="Times New Roman" w:hAnsi="Times New Roman"/>
                      <w:color w:val="000000"/>
                      <w:szCs w:val="21"/>
                    </w:rPr>
                    <w:t>80dB(A)</w:t>
                  </w:r>
                </w:p>
              </w:tc>
              <w:tc>
                <w:tcPr>
                  <w:tcW w:w="1865" w:type="dxa"/>
                  <w:vAlign w:val="center"/>
                </w:tcPr>
                <w:p>
                  <w:pPr>
                    <w:snapToGrid w:val="0"/>
                    <w:jc w:val="center"/>
                    <w:rPr>
                      <w:rFonts w:ascii="Times New Roman" w:hAnsi="Times New Roman"/>
                      <w:color w:val="000000"/>
                      <w:szCs w:val="21"/>
                    </w:rPr>
                  </w:pPr>
                  <w:r>
                    <w:rPr>
                      <w:rFonts w:ascii="Times New Roman" w:hAnsi="宋体"/>
                      <w:color w:val="000000"/>
                      <w:szCs w:val="21"/>
                    </w:rPr>
                    <w:t>中部（室外）</w:t>
                  </w:r>
                </w:p>
              </w:tc>
              <w:tc>
                <w:tcPr>
                  <w:tcW w:w="2030" w:type="dxa"/>
                  <w:vAlign w:val="center"/>
                </w:tcPr>
                <w:p>
                  <w:pPr>
                    <w:snapToGrid w:val="0"/>
                    <w:jc w:val="center"/>
                    <w:rPr>
                      <w:rFonts w:ascii="Times New Roman" w:hAnsi="Times New Roman"/>
                      <w:color w:val="000000"/>
                      <w:szCs w:val="21"/>
                    </w:rPr>
                  </w:pPr>
                  <w:r>
                    <w:rPr>
                      <w:rFonts w:ascii="Times New Roman" w:hAnsi="Times New Roman"/>
                      <w:color w:val="000000"/>
                      <w:szCs w:val="21"/>
                    </w:rPr>
                    <w:t>5</w:t>
                  </w:r>
                  <w:r>
                    <w:rPr>
                      <w:rFonts w:ascii="Times New Roman" w:hAnsi="宋体"/>
                      <w:color w:val="000000"/>
                      <w:szCs w:val="21"/>
                    </w:rPr>
                    <w:t>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5" w:type="dxa"/>
                  <w:vAlign w:val="center"/>
                </w:tcPr>
                <w:p>
                  <w:pPr>
                    <w:snapToGrid w:val="0"/>
                    <w:jc w:val="center"/>
                    <w:rPr>
                      <w:rFonts w:ascii="Times New Roman" w:hAnsi="Times New Roman"/>
                      <w:bCs/>
                      <w:color w:val="000000"/>
                      <w:szCs w:val="21"/>
                    </w:rPr>
                  </w:pPr>
                  <w:r>
                    <w:rPr>
                      <w:rFonts w:ascii="Times New Roman" w:hAnsi="宋体"/>
                      <w:color w:val="000000"/>
                      <w:kern w:val="0"/>
                      <w:szCs w:val="21"/>
                    </w:rPr>
                    <w:t>搅拌运输车</w:t>
                  </w:r>
                </w:p>
              </w:tc>
              <w:tc>
                <w:tcPr>
                  <w:tcW w:w="2672" w:type="dxa"/>
                  <w:vAlign w:val="center"/>
                </w:tcPr>
                <w:p>
                  <w:pPr>
                    <w:snapToGrid w:val="0"/>
                    <w:jc w:val="center"/>
                    <w:rPr>
                      <w:rFonts w:ascii="Times New Roman" w:hAnsi="Times New Roman"/>
                      <w:color w:val="000000"/>
                      <w:szCs w:val="21"/>
                    </w:rPr>
                  </w:pPr>
                  <w:r>
                    <w:rPr>
                      <w:rFonts w:ascii="Times New Roman" w:hAnsi="宋体"/>
                      <w:color w:val="000000"/>
                      <w:szCs w:val="21"/>
                    </w:rPr>
                    <w:t>约</w:t>
                  </w:r>
                  <w:r>
                    <w:rPr>
                      <w:rFonts w:ascii="Times New Roman" w:hAnsi="Times New Roman"/>
                      <w:color w:val="000000"/>
                      <w:szCs w:val="21"/>
                    </w:rPr>
                    <w:t>75dB(A)</w:t>
                  </w:r>
                </w:p>
              </w:tc>
              <w:tc>
                <w:tcPr>
                  <w:tcW w:w="1865" w:type="dxa"/>
                  <w:vAlign w:val="center"/>
                </w:tcPr>
                <w:p>
                  <w:pPr>
                    <w:snapToGrid w:val="0"/>
                    <w:jc w:val="center"/>
                    <w:rPr>
                      <w:rFonts w:ascii="Times New Roman" w:hAnsi="Times New Roman"/>
                      <w:color w:val="000000"/>
                      <w:szCs w:val="21"/>
                    </w:rPr>
                  </w:pPr>
                  <w:r>
                    <w:rPr>
                      <w:rFonts w:ascii="Times New Roman" w:hAnsi="Times New Roman"/>
                      <w:color w:val="000000"/>
                      <w:szCs w:val="21"/>
                    </w:rPr>
                    <w:t>/</w:t>
                  </w:r>
                </w:p>
              </w:tc>
              <w:tc>
                <w:tcPr>
                  <w:tcW w:w="2030" w:type="dxa"/>
                  <w:vAlign w:val="center"/>
                </w:tcPr>
                <w:p>
                  <w:pPr>
                    <w:snapToGrid w:val="0"/>
                    <w:jc w:val="center"/>
                    <w:rPr>
                      <w:rFonts w:ascii="Times New Roman" w:hAnsi="Times New Roman"/>
                      <w:color w:val="000000"/>
                      <w:szCs w:val="21"/>
                    </w:rPr>
                  </w:pPr>
                  <w:r>
                    <w:rPr>
                      <w:rFonts w:ascii="Times New Roman" w:hAnsi="Times New Roman"/>
                      <w:color w:val="000000"/>
                      <w:szCs w:val="21"/>
                    </w:rPr>
                    <w:t>/</w:t>
                  </w:r>
                </w:p>
              </w:tc>
            </w:tr>
          </w:tbl>
          <w:p>
            <w:pPr>
              <w:spacing w:beforeLines="50"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4</w:t>
            </w:r>
            <w:r>
              <w:rPr>
                <w:rFonts w:ascii="Times New Roman" w:hAnsi="宋体"/>
                <w:b/>
                <w:color w:val="000000"/>
                <w:sz w:val="24"/>
                <w:szCs w:val="24"/>
              </w:rPr>
              <w:t>、固体废物（</w:t>
            </w:r>
            <w:r>
              <w:rPr>
                <w:rFonts w:ascii="Times New Roman" w:hAnsi="Times New Roman"/>
                <w:b/>
                <w:color w:val="000000"/>
                <w:sz w:val="24"/>
              </w:rPr>
              <w:t>S</w:t>
            </w:r>
            <w:r>
              <w:rPr>
                <w:rFonts w:ascii="Times New Roman" w:hAnsi="宋体"/>
                <w:b/>
                <w:color w:val="000000"/>
                <w:sz w:val="24"/>
                <w:szCs w:val="24"/>
              </w:rPr>
              <w:t>）</w:t>
            </w:r>
          </w:p>
          <w:p>
            <w:pPr>
              <w:snapToGrid w:val="0"/>
              <w:spacing w:line="360" w:lineRule="auto"/>
              <w:ind w:firstLine="480" w:firstLineChars="200"/>
              <w:rPr>
                <w:rFonts w:ascii="Times New Roman" w:hAnsi="Times New Roman"/>
                <w:color w:val="000000"/>
                <w:sz w:val="24"/>
                <w:szCs w:val="24"/>
              </w:rPr>
            </w:pPr>
            <w:r>
              <w:rPr>
                <w:rFonts w:ascii="Times New Roman" w:hAnsi="宋体"/>
                <w:color w:val="000000"/>
                <w:sz w:val="24"/>
                <w:szCs w:val="24"/>
              </w:rPr>
              <w:t>项目生产经营过程中产生的固体废物主要是生活垃圾、一般工业固体废物和严控废物。</w:t>
            </w:r>
          </w:p>
          <w:p>
            <w:pPr>
              <w:snapToGrid w:val="0"/>
              <w:spacing w:line="360" w:lineRule="auto"/>
              <w:ind w:firstLine="480" w:firstLineChars="200"/>
              <w:rPr>
                <w:rFonts w:ascii="Times New Roman" w:hAnsi="Times New Roman"/>
                <w:color w:val="000000"/>
                <w:sz w:val="24"/>
                <w:szCs w:val="24"/>
              </w:rPr>
            </w:pPr>
            <w:r>
              <w:rPr>
                <w:rFonts w:hint="eastAsia" w:ascii="Times New Roman" w:hAnsi="宋体"/>
                <w:color w:val="000000"/>
                <w:sz w:val="24"/>
                <w:szCs w:val="24"/>
              </w:rPr>
              <w:t>（1）</w:t>
            </w:r>
            <w:r>
              <w:rPr>
                <w:rFonts w:ascii="Times New Roman" w:hAnsi="宋体"/>
                <w:color w:val="000000"/>
                <w:sz w:val="24"/>
                <w:szCs w:val="24"/>
              </w:rPr>
              <w:t>生活垃圾：项目员工有</w:t>
            </w:r>
            <w:r>
              <w:rPr>
                <w:rFonts w:ascii="Times New Roman" w:hAnsi="Times New Roman"/>
                <w:color w:val="000000"/>
                <w:sz w:val="24"/>
                <w:szCs w:val="24"/>
              </w:rPr>
              <w:t>40</w:t>
            </w:r>
            <w:r>
              <w:rPr>
                <w:rFonts w:ascii="Times New Roman" w:hAnsi="宋体"/>
                <w:color w:val="000000"/>
                <w:sz w:val="24"/>
                <w:szCs w:val="24"/>
              </w:rPr>
              <w:t>人，</w:t>
            </w:r>
            <w:r>
              <w:rPr>
                <w:rFonts w:ascii="Times New Roman" w:hAnsi="Times New Roman"/>
                <w:color w:val="000000"/>
                <w:sz w:val="24"/>
                <w:szCs w:val="24"/>
              </w:rPr>
              <w:t>生活垃圾每人每天按1kg计，生活垃圾产生</w:t>
            </w:r>
            <w:r>
              <w:rPr>
                <w:rFonts w:ascii="Times New Roman" w:hAnsi="Times New Roman"/>
                <w:bCs/>
                <w:color w:val="000000"/>
                <w:sz w:val="24"/>
                <w:szCs w:val="24"/>
              </w:rPr>
              <w:t>量为40kg/d，合计为12t/a</w:t>
            </w:r>
            <w:r>
              <w:rPr>
                <w:rFonts w:ascii="Times New Roman" w:hAnsi="Times New Roman"/>
                <w:color w:val="000000"/>
                <w:sz w:val="24"/>
                <w:szCs w:val="24"/>
              </w:rPr>
              <w:t>。</w:t>
            </w:r>
          </w:p>
          <w:p>
            <w:pPr>
              <w:snapToGrid w:val="0"/>
              <w:spacing w:line="360" w:lineRule="auto"/>
              <w:ind w:firstLine="480" w:firstLineChars="200"/>
              <w:rPr>
                <w:rFonts w:ascii="Times New Roman" w:hAnsi="Times New Roman"/>
                <w:color w:val="000000"/>
                <w:sz w:val="24"/>
                <w:szCs w:val="24"/>
              </w:rPr>
            </w:pPr>
            <w:r>
              <w:rPr>
                <w:rFonts w:hint="eastAsia" w:ascii="Times New Roman" w:hAnsi="宋体"/>
                <w:color w:val="000000"/>
                <w:sz w:val="24"/>
                <w:szCs w:val="24"/>
              </w:rPr>
              <w:t>（2）</w:t>
            </w:r>
            <w:r>
              <w:rPr>
                <w:rFonts w:ascii="Times New Roman" w:hAnsi="宋体"/>
                <w:color w:val="000000"/>
                <w:sz w:val="24"/>
                <w:szCs w:val="24"/>
              </w:rPr>
              <w:t>一般工业固废：</w:t>
            </w:r>
            <w:r>
              <w:rPr>
                <w:rFonts w:ascii="Times New Roman" w:hAnsi="Times New Roman"/>
                <w:color w:val="000000"/>
                <w:sz w:val="24"/>
                <w:szCs w:val="24"/>
              </w:rPr>
              <w:t>生产过程中产生的废沙石渣、剩余混凝土及沉淀池沉渣约1 m</w:t>
            </w:r>
            <w:r>
              <w:rPr>
                <w:rFonts w:ascii="Times New Roman" w:hAnsi="Times New Roman"/>
                <w:color w:val="000000"/>
                <w:sz w:val="24"/>
                <w:szCs w:val="24"/>
                <w:vertAlign w:val="superscript"/>
              </w:rPr>
              <w:t>3</w:t>
            </w:r>
            <w:r>
              <w:rPr>
                <w:rFonts w:ascii="Times New Roman" w:hAnsi="Times New Roman"/>
                <w:color w:val="000000"/>
                <w:sz w:val="24"/>
                <w:szCs w:val="24"/>
              </w:rPr>
              <w:t>/d，根据《实用五金手册》密度按1600kg/m</w:t>
            </w:r>
            <w:r>
              <w:rPr>
                <w:rFonts w:ascii="Times New Roman" w:hAnsi="Times New Roman"/>
                <w:color w:val="000000"/>
                <w:sz w:val="24"/>
                <w:szCs w:val="24"/>
                <w:vertAlign w:val="superscript"/>
              </w:rPr>
              <w:t>3</w:t>
            </w:r>
            <w:r>
              <w:rPr>
                <w:rFonts w:ascii="Times New Roman" w:hAnsi="Times New Roman"/>
                <w:color w:val="000000"/>
                <w:sz w:val="24"/>
                <w:szCs w:val="24"/>
              </w:rPr>
              <w:t>计算，产生量为1.6t/d，年产生量480 t/a。</w:t>
            </w:r>
          </w:p>
          <w:p>
            <w:pPr>
              <w:spacing w:line="360" w:lineRule="auto"/>
              <w:ind w:firstLine="480" w:firstLineChars="200"/>
              <w:rPr>
                <w:rFonts w:ascii="Times New Roman" w:hAnsi="Times New Roman"/>
                <w:color w:val="000000"/>
                <w:sz w:val="24"/>
                <w:szCs w:val="24"/>
              </w:rPr>
            </w:pPr>
            <w:r>
              <w:rPr>
                <w:rFonts w:hint="eastAsia" w:ascii="Times New Roman" w:hAnsi="Times New Roman"/>
                <w:bCs/>
                <w:color w:val="000000"/>
                <w:sz w:val="24"/>
                <w:szCs w:val="24"/>
              </w:rPr>
              <w:t>（3）</w:t>
            </w:r>
            <w:r>
              <w:rPr>
                <w:rFonts w:ascii="Times New Roman" w:hAnsi="Times New Roman"/>
                <w:bCs/>
                <w:color w:val="000000"/>
                <w:sz w:val="24"/>
                <w:szCs w:val="24"/>
              </w:rPr>
              <w:t>严控废物：</w:t>
            </w:r>
            <w:r>
              <w:rPr>
                <w:rFonts w:ascii="Times New Roman" w:hAnsi="Times New Roman"/>
                <w:color w:val="000000"/>
                <w:sz w:val="24"/>
                <w:szCs w:val="24"/>
              </w:rPr>
              <w:t>项目</w:t>
            </w:r>
            <w:r>
              <w:rPr>
                <w:rFonts w:ascii="Times New Roman" w:hAnsi="Times New Roman"/>
                <w:bCs/>
                <w:color w:val="000000"/>
                <w:kern w:val="0"/>
                <w:sz w:val="24"/>
                <w:szCs w:val="24"/>
              </w:rPr>
              <w:t>食堂加工过程以及员工就餐产生餐厨垃圾</w:t>
            </w:r>
            <w:r>
              <w:rPr>
                <w:rFonts w:ascii="Times New Roman" w:hAnsi="Times New Roman"/>
                <w:color w:val="000000"/>
                <w:kern w:val="0"/>
                <w:sz w:val="24"/>
                <w:szCs w:val="24"/>
              </w:rPr>
              <w:t>，</w:t>
            </w:r>
            <w:r>
              <w:rPr>
                <w:rFonts w:ascii="Times New Roman" w:hAnsi="Times New Roman"/>
                <w:color w:val="000000"/>
                <w:sz w:val="24"/>
                <w:szCs w:val="24"/>
              </w:rPr>
              <w:t>对照《广东省严控废物名录》中HY05（</w:t>
            </w:r>
            <w:r>
              <w:rPr>
                <w:rFonts w:ascii="Times New Roman" w:hAnsi="Times New Roman"/>
                <w:color w:val="000000"/>
                <w:kern w:val="0"/>
                <w:sz w:val="24"/>
                <w:szCs w:val="24"/>
              </w:rPr>
              <w:t>饮食业产生的食物加工废物和废弃食物及植物油加工厂产生的残渣），</w:t>
            </w:r>
            <w:r>
              <w:rPr>
                <w:rFonts w:ascii="Times New Roman" w:hAnsi="Times New Roman"/>
                <w:color w:val="000000"/>
                <w:sz w:val="24"/>
                <w:szCs w:val="24"/>
              </w:rPr>
              <w:t>属于严控废物（编号HY05）</w:t>
            </w:r>
            <w:r>
              <w:rPr>
                <w:rFonts w:ascii="Times New Roman" w:hAnsi="Times New Roman"/>
                <w:bCs/>
                <w:color w:val="000000"/>
                <w:sz w:val="24"/>
                <w:szCs w:val="24"/>
              </w:rPr>
              <w:t>，</w:t>
            </w:r>
            <w:r>
              <w:rPr>
                <w:rFonts w:ascii="Times New Roman" w:hAnsi="Times New Roman"/>
                <w:color w:val="000000"/>
                <w:sz w:val="24"/>
                <w:szCs w:val="24"/>
              </w:rPr>
              <w:t>产生量按0.5千克/人·天计算，项目员工40人，则餐厨垃圾的产生量为20kg</w:t>
            </w:r>
            <w:r>
              <w:rPr>
                <w:rFonts w:ascii="Times New Roman" w:hAnsi="Times New Roman"/>
                <w:bCs/>
                <w:color w:val="000000"/>
                <w:sz w:val="24"/>
                <w:szCs w:val="24"/>
              </w:rPr>
              <w:t>/d，</w:t>
            </w:r>
            <w:r>
              <w:rPr>
                <w:rFonts w:ascii="Times New Roman" w:hAnsi="Times New Roman"/>
                <w:color w:val="000000"/>
                <w:sz w:val="24"/>
                <w:szCs w:val="24"/>
              </w:rPr>
              <w:t>6t/a。</w:t>
            </w: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p>
            <w:pPr>
              <w:tabs>
                <w:tab w:val="left" w:pos="-48"/>
                <w:tab w:val="left" w:pos="6690"/>
              </w:tabs>
              <w:snapToGrid w:val="0"/>
              <w:spacing w:line="360" w:lineRule="auto"/>
              <w:rPr>
                <w:rFonts w:ascii="Times New Roman" w:hAnsi="Times New Roman"/>
                <w:color w:val="FF0000"/>
                <w:sz w:val="18"/>
                <w:szCs w:val="18"/>
                <w:highlight w:val="yellow"/>
              </w:rPr>
            </w:pPr>
          </w:p>
        </w:tc>
      </w:tr>
    </w:tbl>
    <w:p>
      <w:pPr>
        <w:pStyle w:val="2"/>
        <w:tabs>
          <w:tab w:val="left" w:pos="840"/>
        </w:tabs>
        <w:jc w:val="both"/>
        <w:rPr>
          <w:rFonts w:ascii="Times New Roman" w:hAnsi="Times New Roman"/>
          <w:color w:val="000000" w:themeColor="text1"/>
        </w:rPr>
      </w:pPr>
      <w:bookmarkStart w:id="12" w:name="_Toc240863955"/>
      <w:bookmarkStart w:id="13" w:name="_Toc236472100"/>
      <w:r>
        <w:rPr>
          <w:rFonts w:ascii="Times New Roman" w:hAnsi="宋体"/>
          <w:b/>
          <w:color w:val="000000" w:themeColor="text1"/>
          <w:sz w:val="28"/>
        </w:rPr>
        <w:t>项目主要污染物产生及预计排放情况</w:t>
      </w:r>
      <w:bookmarkEnd w:id="12"/>
      <w:bookmarkEnd w:id="13"/>
    </w:p>
    <w:tbl>
      <w:tblPr>
        <w:tblStyle w:val="27"/>
        <w:tblW w:w="882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4"/>
        <w:gridCol w:w="420"/>
        <w:gridCol w:w="1262"/>
        <w:gridCol w:w="1679"/>
        <w:gridCol w:w="2198"/>
        <w:gridCol w:w="23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8" w:hRule="atLeast"/>
          <w:jc w:val="center"/>
        </w:trPr>
        <w:tc>
          <w:tcPr>
            <w:tcW w:w="894" w:type="dxa"/>
            <w:tcBorders>
              <w:top w:val="single" w:color="auto" w:sz="12" w:space="0"/>
              <w:bottom w:val="single" w:color="auto" w:sz="6" w:space="0"/>
              <w:tl2br w:val="single" w:color="auto" w:sz="6" w:space="0"/>
            </w:tcBorders>
            <w:vAlign w:val="center"/>
          </w:tcPr>
          <w:p>
            <w:pPr>
              <w:ind w:left="482" w:hanging="482" w:hangingChars="200"/>
              <w:jc w:val="center"/>
              <w:rPr>
                <w:rFonts w:ascii="宋体" w:hAnsi="宋体"/>
                <w:b/>
                <w:bCs/>
                <w:color w:val="000000"/>
                <w:sz w:val="24"/>
                <w:szCs w:val="24"/>
              </w:rPr>
            </w:pPr>
            <w:bookmarkStart w:id="14" w:name="_Toc240863956"/>
            <w:bookmarkStart w:id="15" w:name="_Toc236472101"/>
            <w:r>
              <w:rPr>
                <w:rFonts w:hint="eastAsia" w:ascii="宋体" w:hAnsi="宋体"/>
                <w:b/>
                <w:bCs/>
                <w:color w:val="000000"/>
                <w:sz w:val="24"/>
                <w:szCs w:val="24"/>
              </w:rPr>
              <w:t>内容</w:t>
            </w:r>
          </w:p>
          <w:p>
            <w:pPr>
              <w:jc w:val="center"/>
              <w:rPr>
                <w:rFonts w:ascii="宋体" w:hAnsi="宋体"/>
                <w:color w:val="000000"/>
                <w:sz w:val="24"/>
                <w:szCs w:val="24"/>
              </w:rPr>
            </w:pPr>
            <w:r>
              <w:rPr>
                <w:rFonts w:hint="eastAsia" w:ascii="宋体" w:hAnsi="宋体"/>
                <w:b/>
                <w:bCs/>
                <w:color w:val="000000"/>
                <w:sz w:val="24"/>
                <w:szCs w:val="24"/>
              </w:rPr>
              <w:t>类型</w:t>
            </w:r>
          </w:p>
        </w:tc>
        <w:tc>
          <w:tcPr>
            <w:tcW w:w="1682" w:type="dxa"/>
            <w:gridSpan w:val="2"/>
            <w:tcBorders>
              <w:right w:val="single" w:color="auto" w:sz="4" w:space="0"/>
            </w:tcBorders>
            <w:vAlign w:val="center"/>
          </w:tcPr>
          <w:p>
            <w:pPr>
              <w:jc w:val="center"/>
              <w:rPr>
                <w:rFonts w:ascii="宋体" w:hAnsi="宋体"/>
                <w:b/>
                <w:bCs/>
                <w:color w:val="000000"/>
                <w:sz w:val="24"/>
                <w:szCs w:val="24"/>
              </w:rPr>
            </w:pPr>
            <w:r>
              <w:rPr>
                <w:rFonts w:hint="eastAsia" w:ascii="宋体" w:hAnsi="宋体"/>
                <w:b/>
                <w:bCs/>
                <w:color w:val="000000"/>
                <w:sz w:val="24"/>
                <w:szCs w:val="24"/>
              </w:rPr>
              <w:t>排放源</w:t>
            </w:r>
          </w:p>
          <w:p>
            <w:pPr>
              <w:jc w:val="center"/>
              <w:rPr>
                <w:rFonts w:ascii="宋体" w:hAnsi="宋体"/>
                <w:b/>
                <w:bCs/>
                <w:color w:val="000000"/>
                <w:sz w:val="24"/>
                <w:szCs w:val="24"/>
              </w:rPr>
            </w:pPr>
            <w:r>
              <w:rPr>
                <w:rFonts w:hint="eastAsia" w:ascii="宋体" w:hAnsi="宋体"/>
                <w:b/>
                <w:bCs/>
                <w:color w:val="000000"/>
                <w:sz w:val="24"/>
                <w:szCs w:val="24"/>
              </w:rPr>
              <w:t>(编号)</w:t>
            </w:r>
          </w:p>
        </w:tc>
        <w:tc>
          <w:tcPr>
            <w:tcW w:w="1679" w:type="dxa"/>
            <w:tcBorders>
              <w:left w:val="single" w:color="auto" w:sz="4" w:space="0"/>
              <w:right w:val="single" w:color="auto" w:sz="4" w:space="0"/>
            </w:tcBorders>
            <w:vAlign w:val="center"/>
          </w:tcPr>
          <w:p>
            <w:pPr>
              <w:jc w:val="center"/>
              <w:rPr>
                <w:rFonts w:ascii="宋体" w:hAnsi="宋体"/>
                <w:b/>
                <w:bCs/>
                <w:color w:val="000000"/>
                <w:sz w:val="24"/>
                <w:szCs w:val="24"/>
              </w:rPr>
            </w:pPr>
            <w:r>
              <w:rPr>
                <w:rFonts w:hint="eastAsia" w:ascii="宋体" w:hAnsi="宋体"/>
                <w:b/>
                <w:bCs/>
                <w:color w:val="000000"/>
                <w:sz w:val="24"/>
                <w:szCs w:val="24"/>
              </w:rPr>
              <w:t>污染物</w:t>
            </w:r>
          </w:p>
          <w:p>
            <w:pPr>
              <w:jc w:val="center"/>
              <w:rPr>
                <w:rFonts w:ascii="宋体" w:hAnsi="宋体"/>
                <w:b/>
                <w:bCs/>
                <w:color w:val="000000"/>
                <w:sz w:val="24"/>
                <w:szCs w:val="24"/>
              </w:rPr>
            </w:pPr>
            <w:r>
              <w:rPr>
                <w:rFonts w:hint="eastAsia" w:ascii="宋体" w:hAnsi="宋体"/>
                <w:b/>
                <w:bCs/>
                <w:color w:val="000000"/>
                <w:sz w:val="24"/>
                <w:szCs w:val="24"/>
              </w:rPr>
              <w:t>名 称</w:t>
            </w:r>
          </w:p>
        </w:tc>
        <w:tc>
          <w:tcPr>
            <w:tcW w:w="2198" w:type="dxa"/>
            <w:tcBorders>
              <w:left w:val="single" w:color="auto" w:sz="4" w:space="0"/>
              <w:right w:val="single" w:color="auto" w:sz="4" w:space="0"/>
            </w:tcBorders>
            <w:vAlign w:val="center"/>
          </w:tcPr>
          <w:p>
            <w:pPr>
              <w:jc w:val="center"/>
              <w:rPr>
                <w:rFonts w:ascii="宋体" w:hAnsi="宋体"/>
                <w:b/>
                <w:bCs/>
                <w:color w:val="000000"/>
                <w:sz w:val="24"/>
                <w:szCs w:val="24"/>
              </w:rPr>
            </w:pPr>
            <w:r>
              <w:rPr>
                <w:rFonts w:hint="eastAsia" w:ascii="宋体" w:hAnsi="宋体"/>
                <w:b/>
                <w:bCs/>
                <w:color w:val="000000"/>
                <w:sz w:val="24"/>
                <w:szCs w:val="24"/>
              </w:rPr>
              <w:t>处理前产生浓度</w:t>
            </w:r>
          </w:p>
          <w:p>
            <w:pPr>
              <w:jc w:val="center"/>
              <w:rPr>
                <w:rFonts w:ascii="宋体" w:hAnsi="宋体"/>
                <w:b/>
                <w:bCs/>
                <w:color w:val="000000"/>
                <w:sz w:val="24"/>
                <w:szCs w:val="24"/>
              </w:rPr>
            </w:pPr>
            <w:r>
              <w:rPr>
                <w:rFonts w:hint="eastAsia" w:ascii="宋体" w:hAnsi="宋体"/>
                <w:b/>
                <w:bCs/>
                <w:color w:val="000000"/>
                <w:sz w:val="24"/>
                <w:szCs w:val="24"/>
              </w:rPr>
              <w:t>及产生量（单位）</w:t>
            </w:r>
          </w:p>
        </w:tc>
        <w:tc>
          <w:tcPr>
            <w:tcW w:w="2375" w:type="dxa"/>
            <w:tcBorders>
              <w:left w:val="single" w:color="auto" w:sz="4" w:space="0"/>
            </w:tcBorders>
            <w:vAlign w:val="center"/>
          </w:tcPr>
          <w:p>
            <w:pPr>
              <w:jc w:val="center"/>
              <w:rPr>
                <w:rFonts w:ascii="宋体" w:hAnsi="宋体"/>
                <w:b/>
                <w:bCs/>
                <w:color w:val="000000"/>
                <w:sz w:val="24"/>
                <w:szCs w:val="24"/>
              </w:rPr>
            </w:pPr>
            <w:r>
              <w:rPr>
                <w:rFonts w:hint="eastAsia" w:ascii="宋体" w:hAnsi="宋体"/>
                <w:b/>
                <w:bCs/>
                <w:color w:val="000000"/>
                <w:sz w:val="24"/>
                <w:szCs w:val="24"/>
              </w:rPr>
              <w:t>处理后排放浓度及排放量（单位）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94" w:type="dxa"/>
            <w:vMerge w:val="restart"/>
            <w:vAlign w:val="center"/>
          </w:tcPr>
          <w:p>
            <w:pPr>
              <w:jc w:val="center"/>
              <w:rPr>
                <w:rFonts w:ascii="宋体" w:hAnsi="宋体"/>
                <w:b/>
                <w:color w:val="000000"/>
                <w:sz w:val="24"/>
                <w:szCs w:val="24"/>
              </w:rPr>
            </w:pPr>
            <w:r>
              <w:rPr>
                <w:rFonts w:hint="eastAsia" w:ascii="宋体" w:hAnsi="宋体"/>
                <w:b/>
                <w:color w:val="000000"/>
                <w:sz w:val="24"/>
                <w:szCs w:val="24"/>
              </w:rPr>
              <w:t>大</w:t>
            </w:r>
          </w:p>
          <w:p>
            <w:pPr>
              <w:jc w:val="center"/>
              <w:rPr>
                <w:rFonts w:ascii="宋体" w:hAnsi="宋体"/>
                <w:b/>
                <w:color w:val="000000"/>
                <w:sz w:val="24"/>
                <w:szCs w:val="24"/>
              </w:rPr>
            </w:pPr>
            <w:r>
              <w:rPr>
                <w:rFonts w:hint="eastAsia" w:ascii="宋体" w:hAnsi="宋体"/>
                <w:b/>
                <w:color w:val="000000"/>
                <w:sz w:val="24"/>
                <w:szCs w:val="24"/>
              </w:rPr>
              <w:t>气</w:t>
            </w:r>
          </w:p>
          <w:p>
            <w:pPr>
              <w:jc w:val="center"/>
              <w:rPr>
                <w:rFonts w:ascii="宋体" w:hAnsi="宋体"/>
                <w:b/>
                <w:color w:val="000000"/>
                <w:sz w:val="24"/>
                <w:szCs w:val="24"/>
              </w:rPr>
            </w:pPr>
            <w:r>
              <w:rPr>
                <w:rFonts w:hint="eastAsia" w:ascii="宋体" w:hAnsi="宋体"/>
                <w:b/>
                <w:color w:val="000000"/>
                <w:sz w:val="24"/>
                <w:szCs w:val="24"/>
              </w:rPr>
              <w:t>污</w:t>
            </w:r>
          </w:p>
          <w:p>
            <w:pPr>
              <w:jc w:val="center"/>
              <w:rPr>
                <w:rFonts w:ascii="宋体" w:hAnsi="宋体"/>
                <w:b/>
                <w:color w:val="000000"/>
                <w:sz w:val="24"/>
                <w:szCs w:val="24"/>
              </w:rPr>
            </w:pPr>
            <w:r>
              <w:rPr>
                <w:rFonts w:hint="eastAsia" w:ascii="宋体" w:hAnsi="宋体"/>
                <w:b/>
                <w:color w:val="000000"/>
                <w:sz w:val="24"/>
                <w:szCs w:val="24"/>
              </w:rPr>
              <w:t>染</w:t>
            </w:r>
          </w:p>
          <w:p>
            <w:pPr>
              <w:jc w:val="center"/>
              <w:rPr>
                <w:rFonts w:ascii="宋体" w:hAnsi="宋体"/>
                <w:b/>
                <w:color w:val="000000"/>
                <w:sz w:val="24"/>
                <w:szCs w:val="24"/>
              </w:rPr>
            </w:pPr>
            <w:r>
              <w:rPr>
                <w:rFonts w:hint="eastAsia" w:ascii="宋体" w:hAnsi="宋体"/>
                <w:b/>
                <w:color w:val="000000"/>
                <w:sz w:val="24"/>
                <w:szCs w:val="24"/>
              </w:rPr>
              <w:t>物</w:t>
            </w:r>
          </w:p>
        </w:tc>
        <w:tc>
          <w:tcPr>
            <w:tcW w:w="420" w:type="dxa"/>
            <w:vMerge w:val="restart"/>
            <w:tcBorders>
              <w:top w:val="single" w:color="auto" w:sz="4" w:space="0"/>
              <w:right w:val="single" w:color="auto" w:sz="4" w:space="0"/>
            </w:tcBorders>
            <w:vAlign w:val="center"/>
          </w:tcPr>
          <w:p>
            <w:pPr>
              <w:spacing w:line="400" w:lineRule="exact"/>
              <w:jc w:val="center"/>
              <w:rPr>
                <w:color w:val="000000"/>
                <w:szCs w:val="21"/>
              </w:rPr>
            </w:pPr>
            <w:r>
              <w:rPr>
                <w:rFonts w:hint="eastAsia"/>
                <w:color w:val="000000"/>
                <w:szCs w:val="21"/>
              </w:rPr>
              <w:t>施工期</w:t>
            </w:r>
          </w:p>
        </w:tc>
        <w:tc>
          <w:tcPr>
            <w:tcW w:w="126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color w:val="000000"/>
                <w:szCs w:val="21"/>
              </w:rPr>
            </w:pPr>
            <w:r>
              <w:rPr>
                <w:color w:val="000000"/>
                <w:szCs w:val="21"/>
              </w:rPr>
              <w:t>施工扬尘</w:t>
            </w:r>
          </w:p>
        </w:tc>
        <w:tc>
          <w:tcPr>
            <w:tcW w:w="1679" w:type="dxa"/>
            <w:tcBorders>
              <w:top w:val="single" w:color="auto" w:sz="4" w:space="0"/>
              <w:left w:val="single" w:color="auto" w:sz="4" w:space="0"/>
              <w:right w:val="single" w:color="auto" w:sz="4" w:space="0"/>
            </w:tcBorders>
            <w:shd w:val="clear" w:color="auto" w:fill="auto"/>
            <w:vAlign w:val="center"/>
          </w:tcPr>
          <w:p>
            <w:pPr>
              <w:jc w:val="center"/>
              <w:rPr>
                <w:rFonts w:ascii="宋体" w:hAnsi="宋体"/>
                <w:color w:val="000000"/>
                <w:szCs w:val="21"/>
              </w:rPr>
            </w:pPr>
            <w:r>
              <w:rPr>
                <w:rFonts w:ascii="Times New Roman" w:hAnsi="宋体"/>
                <w:color w:val="000000"/>
                <w:szCs w:val="21"/>
              </w:rPr>
              <w:t>TSP</w:t>
            </w:r>
          </w:p>
        </w:tc>
        <w:tc>
          <w:tcPr>
            <w:tcW w:w="2198" w:type="dxa"/>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olor w:val="000000"/>
                <w:szCs w:val="21"/>
              </w:rPr>
            </w:pPr>
            <w:r>
              <w:rPr>
                <w:rFonts w:hint="eastAsia" w:ascii="Times New Roman" w:hAnsi="Times New Roman"/>
                <w:color w:val="000000"/>
                <w:szCs w:val="21"/>
              </w:rPr>
              <w:t>少量</w:t>
            </w:r>
          </w:p>
        </w:tc>
        <w:tc>
          <w:tcPr>
            <w:tcW w:w="2375" w:type="dxa"/>
            <w:tcBorders>
              <w:top w:val="single" w:color="auto" w:sz="4" w:space="0"/>
              <w:left w:val="single" w:color="auto" w:sz="4" w:space="0"/>
            </w:tcBorders>
            <w:shd w:val="clear" w:color="auto" w:fill="auto"/>
            <w:vAlign w:val="center"/>
          </w:tcPr>
          <w:p>
            <w:pPr>
              <w:jc w:val="center"/>
              <w:rPr>
                <w:rFonts w:ascii="Times New Roman" w:hAnsi="Times New Roman"/>
                <w:color w:val="000000"/>
                <w:szCs w:val="21"/>
              </w:rPr>
            </w:pPr>
            <w:r>
              <w:rPr>
                <w:rFonts w:hint="eastAsia" w:ascii="Times New Roman" w:hAnsi="Times New Roman"/>
                <w:color w:val="000000"/>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94" w:type="dxa"/>
            <w:vMerge w:val="continue"/>
            <w:vAlign w:val="center"/>
          </w:tcPr>
          <w:p>
            <w:pPr>
              <w:jc w:val="center"/>
              <w:rPr>
                <w:rFonts w:ascii="宋体" w:hAnsi="宋体"/>
                <w:b/>
                <w:color w:val="000000"/>
                <w:sz w:val="24"/>
                <w:szCs w:val="24"/>
              </w:rPr>
            </w:pPr>
          </w:p>
        </w:tc>
        <w:tc>
          <w:tcPr>
            <w:tcW w:w="420" w:type="dxa"/>
            <w:vMerge w:val="continue"/>
            <w:tcBorders>
              <w:bottom w:val="single" w:color="auto" w:sz="4" w:space="0"/>
              <w:right w:val="single" w:color="auto" w:sz="4" w:space="0"/>
            </w:tcBorders>
            <w:vAlign w:val="center"/>
          </w:tcPr>
          <w:p>
            <w:pPr>
              <w:autoSpaceDE w:val="0"/>
              <w:autoSpaceDN w:val="0"/>
              <w:adjustRightInd w:val="0"/>
              <w:spacing w:line="400" w:lineRule="exact"/>
              <w:jc w:val="center"/>
              <w:rPr>
                <w:kern w:val="0"/>
                <w:szCs w:val="21"/>
              </w:rPr>
            </w:pPr>
          </w:p>
        </w:tc>
        <w:tc>
          <w:tcPr>
            <w:tcW w:w="126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kern w:val="0"/>
                <w:szCs w:val="21"/>
              </w:rPr>
            </w:pPr>
            <w:r>
              <w:rPr>
                <w:rFonts w:hint="eastAsia"/>
                <w:kern w:val="0"/>
                <w:szCs w:val="21"/>
              </w:rPr>
              <w:t>燃料</w:t>
            </w:r>
            <w:r>
              <w:rPr>
                <w:kern w:val="0"/>
                <w:szCs w:val="21"/>
              </w:rPr>
              <w:t>废气</w:t>
            </w:r>
          </w:p>
        </w:tc>
        <w:tc>
          <w:tcPr>
            <w:tcW w:w="1679" w:type="dxa"/>
            <w:tcBorders>
              <w:top w:val="single" w:color="auto" w:sz="4" w:space="0"/>
              <w:left w:val="single" w:color="auto" w:sz="4" w:space="0"/>
              <w:right w:val="single" w:color="auto" w:sz="4" w:space="0"/>
            </w:tcBorders>
            <w:shd w:val="clear" w:color="auto" w:fill="auto"/>
            <w:vAlign w:val="center"/>
          </w:tcPr>
          <w:p>
            <w:pPr>
              <w:jc w:val="center"/>
              <w:rPr>
                <w:rFonts w:ascii="宋体" w:hAnsi="宋体"/>
                <w:color w:val="000000"/>
                <w:szCs w:val="21"/>
              </w:rPr>
            </w:pPr>
            <w:r>
              <w:rPr>
                <w:rFonts w:ascii="Times New Roman" w:hAnsi="宋体"/>
                <w:color w:val="000000"/>
                <w:szCs w:val="21"/>
              </w:rPr>
              <w:t>CO、非甲烷烃及NO</w:t>
            </w:r>
            <w:r>
              <w:rPr>
                <w:rFonts w:ascii="Times New Roman" w:hAnsi="宋体"/>
                <w:color w:val="000000"/>
                <w:szCs w:val="21"/>
                <w:vertAlign w:val="subscript"/>
              </w:rPr>
              <w:t>X</w:t>
            </w:r>
          </w:p>
        </w:tc>
        <w:tc>
          <w:tcPr>
            <w:tcW w:w="2198" w:type="dxa"/>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olor w:val="000000"/>
                <w:szCs w:val="21"/>
              </w:rPr>
            </w:pPr>
            <w:r>
              <w:rPr>
                <w:rFonts w:hint="eastAsia" w:ascii="Times New Roman" w:hAnsi="Times New Roman"/>
                <w:color w:val="000000"/>
                <w:szCs w:val="21"/>
              </w:rPr>
              <w:t>少量</w:t>
            </w:r>
          </w:p>
        </w:tc>
        <w:tc>
          <w:tcPr>
            <w:tcW w:w="2375" w:type="dxa"/>
            <w:tcBorders>
              <w:top w:val="single" w:color="auto" w:sz="4" w:space="0"/>
              <w:left w:val="single" w:color="auto" w:sz="4" w:space="0"/>
            </w:tcBorders>
            <w:shd w:val="clear" w:color="auto" w:fill="auto"/>
            <w:vAlign w:val="center"/>
          </w:tcPr>
          <w:p>
            <w:pPr>
              <w:jc w:val="center"/>
              <w:rPr>
                <w:rFonts w:ascii="Times New Roman" w:hAnsi="Times New Roman"/>
                <w:color w:val="000000"/>
                <w:szCs w:val="21"/>
              </w:rPr>
            </w:pPr>
            <w:r>
              <w:rPr>
                <w:rFonts w:hint="eastAsia" w:ascii="Times New Roman" w:hAnsi="Times New Roman"/>
                <w:color w:val="000000"/>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94" w:type="dxa"/>
            <w:vMerge w:val="continue"/>
            <w:vAlign w:val="center"/>
          </w:tcPr>
          <w:p>
            <w:pPr>
              <w:jc w:val="center"/>
              <w:rPr>
                <w:rFonts w:ascii="宋体" w:hAnsi="宋体"/>
                <w:b/>
                <w:bCs/>
                <w:color w:val="000000"/>
                <w:sz w:val="24"/>
                <w:szCs w:val="24"/>
                <w:highlight w:val="yellow"/>
              </w:rPr>
            </w:pPr>
          </w:p>
        </w:tc>
        <w:tc>
          <w:tcPr>
            <w:tcW w:w="420" w:type="dxa"/>
            <w:vMerge w:val="restart"/>
            <w:tcBorders>
              <w:top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运营期</w:t>
            </w: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ascii="Times New Roman" w:hAnsi="宋体"/>
                <w:bCs/>
                <w:color w:val="000000"/>
                <w:szCs w:val="21"/>
              </w:rPr>
              <w:t>粉尘</w:t>
            </w:r>
          </w:p>
        </w:tc>
        <w:tc>
          <w:tcPr>
            <w:tcW w:w="1679" w:type="dxa"/>
            <w:tcBorders>
              <w:top w:val="single" w:color="auto" w:sz="4" w:space="0"/>
              <w:left w:val="single" w:color="auto" w:sz="4" w:space="0"/>
              <w:right w:val="single" w:color="auto" w:sz="4" w:space="0"/>
            </w:tcBorders>
            <w:shd w:val="clear" w:color="auto" w:fill="auto"/>
            <w:vAlign w:val="center"/>
          </w:tcPr>
          <w:p>
            <w:pPr>
              <w:jc w:val="center"/>
              <w:rPr>
                <w:rFonts w:ascii="宋体" w:hAnsi="宋体"/>
                <w:color w:val="000000"/>
                <w:szCs w:val="21"/>
              </w:rPr>
            </w:pPr>
            <w:r>
              <w:rPr>
                <w:rFonts w:hint="eastAsia" w:ascii="宋体" w:hAnsi="宋体"/>
                <w:color w:val="000000"/>
                <w:szCs w:val="21"/>
              </w:rPr>
              <w:t>颗粒物</w:t>
            </w:r>
          </w:p>
        </w:tc>
        <w:tc>
          <w:tcPr>
            <w:tcW w:w="2198" w:type="dxa"/>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olor w:val="000000"/>
                <w:szCs w:val="21"/>
              </w:rPr>
            </w:pPr>
            <w:r>
              <w:rPr>
                <w:rFonts w:hint="eastAsia" w:ascii="Times New Roman" w:hAnsi="Times New Roman"/>
                <w:color w:val="000000"/>
                <w:szCs w:val="21"/>
              </w:rPr>
              <w:t>95.1</w:t>
            </w:r>
            <w:r>
              <w:rPr>
                <w:rFonts w:ascii="Times New Roman" w:hAnsi="Times New Roman"/>
                <w:color w:val="000000"/>
                <w:szCs w:val="21"/>
              </w:rPr>
              <w:t>t/a</w:t>
            </w:r>
          </w:p>
        </w:tc>
        <w:tc>
          <w:tcPr>
            <w:tcW w:w="2375" w:type="dxa"/>
            <w:tcBorders>
              <w:top w:val="single" w:color="auto" w:sz="4" w:space="0"/>
              <w:left w:val="single" w:color="auto" w:sz="4" w:space="0"/>
            </w:tcBorders>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3.624t/a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94" w:type="dxa"/>
            <w:vMerge w:val="continue"/>
            <w:vAlign w:val="center"/>
          </w:tcPr>
          <w:p>
            <w:pPr>
              <w:jc w:val="center"/>
              <w:rPr>
                <w:rFonts w:ascii="宋体" w:hAnsi="宋体"/>
                <w:b/>
                <w:color w:val="FF0000"/>
                <w:sz w:val="24"/>
                <w:szCs w:val="24"/>
              </w:rPr>
            </w:pPr>
          </w:p>
        </w:tc>
        <w:tc>
          <w:tcPr>
            <w:tcW w:w="420" w:type="dxa"/>
            <w:vMerge w:val="continue"/>
            <w:tcBorders>
              <w:right w:val="single" w:color="auto" w:sz="4" w:space="0"/>
            </w:tcBorders>
            <w:vAlign w:val="center"/>
          </w:tcPr>
          <w:p>
            <w:pPr>
              <w:jc w:val="center"/>
              <w:rPr>
                <w:rFonts w:ascii="Times New Roman" w:hAnsi="Times New Roman"/>
                <w:bCs/>
                <w:color w:val="000000"/>
                <w:szCs w:val="21"/>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ascii="Times New Roman" w:hAnsi="宋体"/>
                <w:bCs/>
                <w:color w:val="000000"/>
                <w:szCs w:val="21"/>
              </w:rPr>
              <w:t>汽车尾气</w:t>
            </w:r>
          </w:p>
        </w:tc>
        <w:tc>
          <w:tcPr>
            <w:tcW w:w="1679" w:type="dxa"/>
            <w:tcBorders>
              <w:top w:val="single" w:color="auto" w:sz="4" w:space="0"/>
              <w:left w:val="single" w:color="auto" w:sz="4" w:space="0"/>
              <w:right w:val="single" w:color="auto" w:sz="4" w:space="0"/>
            </w:tcBorders>
            <w:shd w:val="clear" w:color="auto" w:fill="auto"/>
            <w:vAlign w:val="center"/>
          </w:tcPr>
          <w:p>
            <w:pPr>
              <w:jc w:val="center"/>
              <w:rPr>
                <w:rFonts w:ascii="宋体" w:hAnsi="宋体"/>
                <w:color w:val="000000"/>
                <w:szCs w:val="21"/>
              </w:rPr>
            </w:pPr>
            <w:r>
              <w:rPr>
                <w:rFonts w:hint="eastAsia" w:ascii="Times New Roman" w:hAnsi="Times New Roman"/>
                <w:color w:val="000000"/>
                <w:szCs w:val="21"/>
              </w:rPr>
              <w:t>CO、NOx、THC</w:t>
            </w:r>
          </w:p>
        </w:tc>
        <w:tc>
          <w:tcPr>
            <w:tcW w:w="2198" w:type="dxa"/>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olor w:val="000000"/>
                <w:szCs w:val="21"/>
              </w:rPr>
            </w:pPr>
            <w:r>
              <w:rPr>
                <w:rFonts w:hint="eastAsia" w:ascii="Times New Roman" w:hAnsi="Times New Roman"/>
                <w:color w:val="000000"/>
                <w:szCs w:val="21"/>
              </w:rPr>
              <w:t>少量</w:t>
            </w:r>
          </w:p>
        </w:tc>
        <w:tc>
          <w:tcPr>
            <w:tcW w:w="2375" w:type="dxa"/>
            <w:tcBorders>
              <w:top w:val="single" w:color="auto" w:sz="4" w:space="0"/>
              <w:left w:val="single" w:color="auto" w:sz="4" w:space="0"/>
            </w:tcBorders>
            <w:shd w:val="clear" w:color="auto" w:fill="auto"/>
            <w:vAlign w:val="center"/>
          </w:tcPr>
          <w:p>
            <w:pPr>
              <w:jc w:val="center"/>
              <w:rPr>
                <w:rFonts w:ascii="Times New Roman" w:hAnsi="Times New Roman"/>
                <w:color w:val="000000"/>
                <w:szCs w:val="21"/>
              </w:rPr>
            </w:pPr>
            <w:r>
              <w:rPr>
                <w:rFonts w:hint="eastAsia" w:ascii="Times New Roman" w:hAnsi="Times New Roman"/>
                <w:color w:val="000000"/>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94" w:type="dxa"/>
            <w:vMerge w:val="continue"/>
            <w:vAlign w:val="center"/>
          </w:tcPr>
          <w:p>
            <w:pPr>
              <w:jc w:val="center"/>
              <w:rPr>
                <w:rFonts w:ascii="宋体" w:hAnsi="宋体"/>
                <w:b/>
                <w:color w:val="FF0000"/>
                <w:sz w:val="24"/>
                <w:szCs w:val="24"/>
                <w:highlight w:val="yellow"/>
              </w:rPr>
            </w:pPr>
          </w:p>
        </w:tc>
        <w:tc>
          <w:tcPr>
            <w:tcW w:w="420" w:type="dxa"/>
            <w:vMerge w:val="continue"/>
            <w:tcBorders>
              <w:right w:val="single" w:color="auto" w:sz="4" w:space="0"/>
            </w:tcBorders>
            <w:vAlign w:val="center"/>
          </w:tcPr>
          <w:p>
            <w:pPr>
              <w:jc w:val="center"/>
              <w:rPr>
                <w:rFonts w:ascii="Times New Roman" w:hAnsi="Times New Roman"/>
                <w:bCs/>
                <w:color w:val="000000"/>
                <w:szCs w:val="21"/>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ascii="Times New Roman" w:hAnsi="宋体"/>
                <w:bCs/>
                <w:color w:val="000000"/>
                <w:szCs w:val="21"/>
              </w:rPr>
              <w:t>厨房油烟</w:t>
            </w:r>
          </w:p>
        </w:tc>
        <w:tc>
          <w:tcPr>
            <w:tcW w:w="1679" w:type="dxa"/>
            <w:tcBorders>
              <w:top w:val="single" w:color="auto" w:sz="4" w:space="0"/>
              <w:left w:val="single" w:color="auto" w:sz="4" w:space="0"/>
              <w:right w:val="single" w:color="auto" w:sz="4" w:space="0"/>
            </w:tcBorders>
            <w:shd w:val="clear" w:color="auto" w:fill="auto"/>
            <w:vAlign w:val="center"/>
          </w:tcPr>
          <w:p>
            <w:pPr>
              <w:jc w:val="center"/>
              <w:rPr>
                <w:rFonts w:ascii="Times New Roman" w:hAnsi="宋体" w:cs="宋体"/>
                <w:bCs/>
                <w:color w:val="000000"/>
                <w:szCs w:val="21"/>
              </w:rPr>
            </w:pPr>
            <w:r>
              <w:rPr>
                <w:rFonts w:hint="eastAsia" w:ascii="Times New Roman" w:hAnsi="宋体" w:cs="宋体"/>
                <w:bCs/>
                <w:color w:val="000000"/>
                <w:szCs w:val="21"/>
              </w:rPr>
              <w:t>油烟</w:t>
            </w:r>
          </w:p>
        </w:tc>
        <w:tc>
          <w:tcPr>
            <w:tcW w:w="2198" w:type="dxa"/>
            <w:tcBorders>
              <w:top w:val="single" w:color="auto" w:sz="4" w:space="0"/>
              <w:left w:val="single" w:color="auto" w:sz="4" w:space="0"/>
              <w:right w:val="single" w:color="auto" w:sz="4" w:space="0"/>
            </w:tcBorders>
            <w:shd w:val="clear" w:color="auto" w:fill="auto"/>
            <w:vAlign w:val="center"/>
          </w:tcPr>
          <w:p>
            <w:pPr>
              <w:ind w:left="-105" w:right="-105"/>
              <w:jc w:val="center"/>
              <w:rPr>
                <w:rFonts w:ascii="Times New Roman" w:hAnsi="宋体"/>
                <w:color w:val="000000"/>
                <w:szCs w:val="21"/>
              </w:rPr>
            </w:pPr>
            <w:r>
              <w:rPr>
                <w:rFonts w:hint="eastAsia" w:ascii="Times New Roman" w:hAnsi="Times New Roman"/>
                <w:color w:val="000000"/>
                <w:szCs w:val="21"/>
              </w:rPr>
              <w:t>1.5</w:t>
            </w:r>
            <w:r>
              <w:rPr>
                <w:rFonts w:ascii="Times New Roman" w:hAnsi="Times New Roman"/>
                <w:color w:val="000000"/>
                <w:spacing w:val="-8"/>
                <w:szCs w:val="21"/>
              </w:rPr>
              <w:t>mg/m</w:t>
            </w:r>
            <w:r>
              <w:rPr>
                <w:rFonts w:ascii="Times New Roman" w:hAnsi="Times New Roman"/>
                <w:color w:val="000000"/>
                <w:spacing w:val="-8"/>
                <w:szCs w:val="21"/>
                <w:vertAlign w:val="superscript"/>
              </w:rPr>
              <w:t>3</w:t>
            </w:r>
          </w:p>
        </w:tc>
        <w:tc>
          <w:tcPr>
            <w:tcW w:w="2375" w:type="dxa"/>
            <w:tcBorders>
              <w:top w:val="single" w:color="auto" w:sz="4" w:space="0"/>
              <w:left w:val="single" w:color="auto" w:sz="4" w:space="0"/>
            </w:tcBorders>
            <w:shd w:val="clear" w:color="auto" w:fill="auto"/>
            <w:vAlign w:val="center"/>
          </w:tcPr>
          <w:p>
            <w:pPr>
              <w:ind w:left="-105" w:right="-105"/>
              <w:jc w:val="center"/>
              <w:rPr>
                <w:rFonts w:ascii="Times New Roman" w:hAnsi="宋体"/>
                <w:color w:val="000000"/>
                <w:szCs w:val="21"/>
              </w:rPr>
            </w:pPr>
            <w:r>
              <w:rPr>
                <w:rFonts w:hint="eastAsia" w:ascii="Times New Roman" w:hAnsi="Times New Roman"/>
                <w:color w:val="000000"/>
                <w:szCs w:val="21"/>
              </w:rPr>
              <w:t>0.15</w:t>
            </w:r>
            <w:r>
              <w:rPr>
                <w:rFonts w:ascii="Times New Roman" w:hAnsi="Times New Roman"/>
                <w:color w:val="000000"/>
                <w:spacing w:val="-8"/>
                <w:szCs w:val="21"/>
              </w:rPr>
              <w:t>mg/m</w:t>
            </w:r>
            <w:r>
              <w:rPr>
                <w:rFonts w:ascii="Times New Roman" w:hAnsi="Times New Roman"/>
                <w:color w:val="000000"/>
                <w:spacing w:val="-8"/>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94" w:type="dxa"/>
            <w:vMerge w:val="continue"/>
            <w:vAlign w:val="center"/>
          </w:tcPr>
          <w:p>
            <w:pPr>
              <w:jc w:val="center"/>
              <w:rPr>
                <w:rFonts w:ascii="宋体" w:hAnsi="宋体"/>
                <w:b/>
                <w:color w:val="FF0000"/>
                <w:sz w:val="24"/>
                <w:szCs w:val="24"/>
                <w:highlight w:val="yellow"/>
              </w:rPr>
            </w:pPr>
          </w:p>
        </w:tc>
        <w:tc>
          <w:tcPr>
            <w:tcW w:w="420" w:type="dxa"/>
            <w:vMerge w:val="continue"/>
            <w:tcBorders>
              <w:bottom w:val="single" w:color="auto" w:sz="4" w:space="0"/>
              <w:right w:val="single" w:color="auto" w:sz="4" w:space="0"/>
            </w:tcBorders>
            <w:vAlign w:val="center"/>
          </w:tcPr>
          <w:p>
            <w:pPr>
              <w:jc w:val="center"/>
              <w:rPr>
                <w:rFonts w:ascii="Times New Roman" w:hAnsi="Times New Roman"/>
                <w:bCs/>
                <w:color w:val="000000"/>
                <w:szCs w:val="21"/>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bCs/>
                <w:color w:val="000000"/>
                <w:szCs w:val="21"/>
              </w:rPr>
            </w:pPr>
            <w:r>
              <w:rPr>
                <w:rFonts w:ascii="Times New Roman" w:hAnsi="宋体"/>
                <w:bCs/>
                <w:color w:val="000000"/>
                <w:szCs w:val="21"/>
              </w:rPr>
              <w:t>发电机废气</w:t>
            </w:r>
          </w:p>
        </w:tc>
        <w:tc>
          <w:tcPr>
            <w:tcW w:w="1679" w:type="dxa"/>
            <w:tcBorders>
              <w:top w:val="single" w:color="auto" w:sz="4" w:space="0"/>
              <w:left w:val="single" w:color="auto" w:sz="4" w:space="0"/>
              <w:right w:val="single" w:color="auto" w:sz="4" w:space="0"/>
            </w:tcBorders>
            <w:shd w:val="clear" w:color="auto" w:fill="auto"/>
            <w:vAlign w:val="center"/>
          </w:tcPr>
          <w:p>
            <w:pPr>
              <w:pStyle w:val="118"/>
              <w:jc w:val="center"/>
              <w:rPr>
                <w:rFonts w:ascii="Times New Roman" w:hAnsi="Times New Roman"/>
                <w:color w:val="000000" w:themeColor="text1"/>
                <w:sz w:val="21"/>
                <w:szCs w:val="21"/>
              </w:rPr>
            </w:pPr>
            <w:r>
              <w:rPr>
                <w:rFonts w:ascii="Times New Roman" w:hAnsi="Times New Roman"/>
                <w:color w:val="000000" w:themeColor="text1"/>
                <w:sz w:val="21"/>
                <w:szCs w:val="21"/>
              </w:rPr>
              <w:t>SO</w:t>
            </w:r>
            <w:r>
              <w:rPr>
                <w:rFonts w:ascii="Times New Roman" w:hAnsi="Times New Roman"/>
                <w:color w:val="000000" w:themeColor="text1"/>
                <w:sz w:val="21"/>
                <w:szCs w:val="21"/>
                <w:vertAlign w:val="subscript"/>
              </w:rPr>
              <w:t>2</w:t>
            </w:r>
            <w:r>
              <w:rPr>
                <w:rFonts w:ascii="Times New Roman" w:hAnsi="宋体"/>
                <w:color w:val="000000" w:themeColor="text1"/>
                <w:sz w:val="21"/>
                <w:szCs w:val="21"/>
              </w:rPr>
              <w:t>、</w:t>
            </w:r>
            <w:r>
              <w:rPr>
                <w:rFonts w:ascii="Times New Roman" w:hAnsi="Times New Roman"/>
                <w:color w:val="000000" w:themeColor="text1"/>
                <w:sz w:val="21"/>
                <w:szCs w:val="21"/>
              </w:rPr>
              <w:t>NO</w:t>
            </w:r>
            <w:r>
              <w:rPr>
                <w:rFonts w:ascii="Times New Roman" w:hAnsi="Times New Roman"/>
                <w:color w:val="000000" w:themeColor="text1"/>
                <w:sz w:val="21"/>
                <w:szCs w:val="21"/>
                <w:vertAlign w:val="subscript"/>
              </w:rPr>
              <w:t>X</w:t>
            </w:r>
            <w:r>
              <w:rPr>
                <w:rFonts w:ascii="Times New Roman" w:hAnsi="宋体"/>
                <w:color w:val="000000" w:themeColor="text1"/>
                <w:sz w:val="21"/>
                <w:szCs w:val="21"/>
              </w:rPr>
              <w:t>、烟尘、林格曼黑度</w:t>
            </w:r>
          </w:p>
        </w:tc>
        <w:tc>
          <w:tcPr>
            <w:tcW w:w="2198" w:type="dxa"/>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olor w:val="000000" w:themeColor="text1"/>
                <w:kern w:val="0"/>
              </w:rPr>
            </w:pPr>
            <w:r>
              <w:rPr>
                <w:rFonts w:ascii="Times New Roman" w:hAnsi="宋体"/>
                <w:color w:val="000000" w:themeColor="text1"/>
                <w:szCs w:val="21"/>
              </w:rPr>
              <w:t>少量</w:t>
            </w:r>
          </w:p>
        </w:tc>
        <w:tc>
          <w:tcPr>
            <w:tcW w:w="2375" w:type="dxa"/>
            <w:tcBorders>
              <w:top w:val="single" w:color="auto" w:sz="4" w:space="0"/>
              <w:left w:val="single" w:color="auto" w:sz="4" w:space="0"/>
            </w:tcBorders>
            <w:shd w:val="clear" w:color="auto" w:fill="auto"/>
            <w:vAlign w:val="center"/>
          </w:tcPr>
          <w:p>
            <w:pPr>
              <w:jc w:val="center"/>
              <w:rPr>
                <w:rFonts w:ascii="Times New Roman" w:hAnsi="Times New Roman"/>
                <w:color w:val="000000" w:themeColor="text1"/>
                <w:kern w:val="0"/>
              </w:rPr>
            </w:pPr>
            <w:r>
              <w:rPr>
                <w:rFonts w:ascii="Times New Roman" w:hAnsi="宋体"/>
                <w:color w:val="000000" w:themeColor="text1"/>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4" w:type="dxa"/>
            <w:vMerge w:val="restart"/>
            <w:tcBorders>
              <w:top w:val="single" w:color="auto" w:sz="4" w:space="0"/>
            </w:tcBorders>
            <w:vAlign w:val="center"/>
          </w:tcPr>
          <w:p>
            <w:pPr>
              <w:spacing w:line="312" w:lineRule="auto"/>
              <w:jc w:val="center"/>
              <w:rPr>
                <w:rFonts w:ascii="宋体" w:hAnsi="宋体"/>
                <w:b/>
                <w:bCs/>
                <w:color w:val="000000"/>
                <w:sz w:val="24"/>
                <w:szCs w:val="24"/>
              </w:rPr>
            </w:pPr>
            <w:r>
              <w:rPr>
                <w:rFonts w:hint="eastAsia" w:ascii="宋体" w:hAnsi="宋体"/>
                <w:b/>
                <w:bCs/>
                <w:color w:val="000000"/>
                <w:sz w:val="24"/>
                <w:szCs w:val="24"/>
              </w:rPr>
              <w:t>水</w:t>
            </w:r>
          </w:p>
          <w:p>
            <w:pPr>
              <w:spacing w:line="312" w:lineRule="auto"/>
              <w:jc w:val="center"/>
              <w:rPr>
                <w:rFonts w:ascii="宋体" w:hAnsi="宋体"/>
                <w:b/>
                <w:bCs/>
                <w:color w:val="000000"/>
                <w:sz w:val="24"/>
                <w:szCs w:val="24"/>
              </w:rPr>
            </w:pPr>
            <w:r>
              <w:rPr>
                <w:rFonts w:hint="eastAsia" w:ascii="宋体" w:hAnsi="宋体"/>
                <w:b/>
                <w:bCs/>
                <w:color w:val="000000"/>
                <w:sz w:val="24"/>
                <w:szCs w:val="24"/>
              </w:rPr>
              <w:t>污</w:t>
            </w:r>
          </w:p>
          <w:p>
            <w:pPr>
              <w:spacing w:line="312" w:lineRule="auto"/>
              <w:jc w:val="center"/>
              <w:rPr>
                <w:rFonts w:ascii="宋体" w:hAnsi="宋体"/>
                <w:b/>
                <w:bCs/>
                <w:color w:val="000000"/>
                <w:sz w:val="24"/>
                <w:szCs w:val="24"/>
              </w:rPr>
            </w:pPr>
            <w:r>
              <w:rPr>
                <w:rFonts w:hint="eastAsia" w:ascii="宋体" w:hAnsi="宋体"/>
                <w:b/>
                <w:bCs/>
                <w:color w:val="000000"/>
                <w:sz w:val="24"/>
                <w:szCs w:val="24"/>
              </w:rPr>
              <w:t>染</w:t>
            </w:r>
          </w:p>
          <w:p>
            <w:pPr>
              <w:spacing w:line="312" w:lineRule="auto"/>
              <w:jc w:val="center"/>
              <w:rPr>
                <w:rFonts w:ascii="宋体" w:hAnsi="宋体"/>
                <w:b/>
                <w:bCs/>
                <w:color w:val="000000"/>
                <w:sz w:val="24"/>
                <w:szCs w:val="24"/>
              </w:rPr>
            </w:pPr>
            <w:r>
              <w:rPr>
                <w:rFonts w:hint="eastAsia" w:ascii="宋体" w:hAnsi="宋体"/>
                <w:b/>
                <w:bCs/>
                <w:color w:val="000000"/>
                <w:sz w:val="24"/>
                <w:szCs w:val="24"/>
              </w:rPr>
              <w:t>物</w:t>
            </w:r>
          </w:p>
        </w:tc>
        <w:tc>
          <w:tcPr>
            <w:tcW w:w="420" w:type="dxa"/>
            <w:vMerge w:val="restart"/>
            <w:tcBorders>
              <w:top w:val="single" w:color="auto" w:sz="4" w:space="0"/>
              <w:right w:val="single" w:color="auto" w:sz="4" w:space="0"/>
            </w:tcBorders>
            <w:vAlign w:val="center"/>
          </w:tcPr>
          <w:p>
            <w:pPr>
              <w:spacing w:line="286" w:lineRule="auto"/>
              <w:jc w:val="center"/>
              <w:rPr>
                <w:rFonts w:ascii="Times New Roman" w:hAnsi="宋体"/>
                <w:color w:val="000000"/>
                <w:szCs w:val="21"/>
              </w:rPr>
            </w:pPr>
            <w:r>
              <w:rPr>
                <w:rFonts w:hint="eastAsia" w:ascii="Times New Roman" w:hAnsi="宋体"/>
                <w:color w:val="000000"/>
                <w:szCs w:val="21"/>
              </w:rPr>
              <w:t>施工期</w:t>
            </w:r>
          </w:p>
        </w:tc>
        <w:tc>
          <w:tcPr>
            <w:tcW w:w="1262" w:type="dxa"/>
            <w:tcBorders>
              <w:top w:val="single" w:color="auto" w:sz="4" w:space="0"/>
              <w:left w:val="single" w:color="auto" w:sz="4" w:space="0"/>
            </w:tcBorders>
            <w:vAlign w:val="center"/>
          </w:tcPr>
          <w:p>
            <w:pPr>
              <w:spacing w:line="286" w:lineRule="auto"/>
              <w:jc w:val="center"/>
              <w:rPr>
                <w:rFonts w:ascii="Times New Roman" w:hAnsi="宋体"/>
                <w:color w:val="000000"/>
                <w:szCs w:val="21"/>
              </w:rPr>
            </w:pPr>
            <w:r>
              <w:rPr>
                <w:rFonts w:hint="eastAsia" w:ascii="Times New Roman" w:hAnsi="宋体"/>
                <w:color w:val="000000"/>
                <w:szCs w:val="21"/>
              </w:rPr>
              <w:t>施工废水</w:t>
            </w:r>
          </w:p>
        </w:tc>
        <w:tc>
          <w:tcPr>
            <w:tcW w:w="1679" w:type="dxa"/>
            <w:vAlign w:val="center"/>
          </w:tcPr>
          <w:p>
            <w:pPr>
              <w:spacing w:line="286" w:lineRule="auto"/>
              <w:jc w:val="center"/>
              <w:rPr>
                <w:rFonts w:ascii="Times New Roman" w:hAnsi="Times New Roman"/>
                <w:color w:val="000000"/>
                <w:szCs w:val="21"/>
              </w:rPr>
            </w:pPr>
            <w:r>
              <w:rPr>
                <w:rFonts w:hint="eastAsia" w:ascii="Times New Roman" w:hAnsi="Times New Roman"/>
                <w:color w:val="000000"/>
                <w:szCs w:val="21"/>
              </w:rPr>
              <w:t>SS</w:t>
            </w:r>
          </w:p>
        </w:tc>
        <w:tc>
          <w:tcPr>
            <w:tcW w:w="2198" w:type="dxa"/>
            <w:tcBorders>
              <w:right w:val="single" w:color="auto" w:sz="4" w:space="0"/>
            </w:tcBorders>
            <w:vAlign w:val="center"/>
          </w:tcPr>
          <w:p>
            <w:pPr>
              <w:jc w:val="center"/>
              <w:rPr>
                <w:rFonts w:ascii="Times New Roman" w:hAnsi="Times New Roman"/>
                <w:color w:val="000000" w:themeColor="text1"/>
                <w:kern w:val="0"/>
              </w:rPr>
            </w:pPr>
            <w:r>
              <w:rPr>
                <w:rFonts w:ascii="Times New Roman" w:hAnsi="宋体"/>
                <w:color w:val="000000" w:themeColor="text1"/>
                <w:szCs w:val="21"/>
              </w:rPr>
              <w:t>少量</w:t>
            </w:r>
          </w:p>
        </w:tc>
        <w:tc>
          <w:tcPr>
            <w:tcW w:w="2375" w:type="dxa"/>
            <w:tcBorders>
              <w:left w:val="single" w:color="auto" w:sz="4" w:space="0"/>
            </w:tcBorders>
            <w:vAlign w:val="center"/>
          </w:tcPr>
          <w:p>
            <w:pPr>
              <w:jc w:val="center"/>
              <w:rPr>
                <w:rFonts w:ascii="Times New Roman" w:hAnsi="Times New Roman"/>
                <w:color w:val="000000" w:themeColor="text1"/>
                <w:kern w:val="0"/>
              </w:rPr>
            </w:pPr>
            <w:r>
              <w:rPr>
                <w:rFonts w:ascii="Times New Roman" w:hAnsi="宋体"/>
                <w:color w:val="000000" w:themeColor="text1"/>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4" w:type="dxa"/>
            <w:vMerge w:val="continue"/>
            <w:vAlign w:val="center"/>
          </w:tcPr>
          <w:p>
            <w:pPr>
              <w:spacing w:line="312" w:lineRule="auto"/>
              <w:jc w:val="center"/>
              <w:rPr>
                <w:rFonts w:ascii="宋体" w:hAnsi="宋体"/>
                <w:b/>
                <w:bCs/>
                <w:color w:val="000000"/>
                <w:sz w:val="24"/>
                <w:szCs w:val="24"/>
              </w:rPr>
            </w:pPr>
          </w:p>
        </w:tc>
        <w:tc>
          <w:tcPr>
            <w:tcW w:w="420" w:type="dxa"/>
            <w:vMerge w:val="continue"/>
            <w:tcBorders>
              <w:right w:val="single" w:color="auto" w:sz="4" w:space="0"/>
            </w:tcBorders>
            <w:vAlign w:val="center"/>
          </w:tcPr>
          <w:p>
            <w:pPr>
              <w:spacing w:line="286" w:lineRule="auto"/>
              <w:jc w:val="center"/>
              <w:rPr>
                <w:rFonts w:ascii="Times New Roman" w:hAnsi="宋体"/>
                <w:color w:val="000000"/>
                <w:szCs w:val="21"/>
              </w:rPr>
            </w:pPr>
          </w:p>
        </w:tc>
        <w:tc>
          <w:tcPr>
            <w:tcW w:w="1262" w:type="dxa"/>
            <w:tcBorders>
              <w:top w:val="single" w:color="auto" w:sz="4" w:space="0"/>
              <w:left w:val="single" w:color="auto" w:sz="4" w:space="0"/>
            </w:tcBorders>
            <w:vAlign w:val="center"/>
          </w:tcPr>
          <w:p>
            <w:pPr>
              <w:spacing w:line="286" w:lineRule="auto"/>
              <w:jc w:val="center"/>
              <w:rPr>
                <w:rFonts w:ascii="Times New Roman" w:hAnsi="宋体"/>
                <w:color w:val="000000"/>
                <w:szCs w:val="21"/>
              </w:rPr>
            </w:pPr>
            <w:r>
              <w:rPr>
                <w:rFonts w:hint="eastAsia" w:ascii="Times New Roman" w:hAnsi="宋体"/>
                <w:color w:val="000000"/>
                <w:szCs w:val="21"/>
              </w:rPr>
              <w:t>生活污水</w:t>
            </w:r>
          </w:p>
        </w:tc>
        <w:tc>
          <w:tcPr>
            <w:tcW w:w="1679" w:type="dxa"/>
            <w:vAlign w:val="center"/>
          </w:tcPr>
          <w:p>
            <w:pPr>
              <w:spacing w:line="286" w:lineRule="auto"/>
              <w:jc w:val="center"/>
              <w:rPr>
                <w:rFonts w:ascii="Times New Roman" w:hAnsi="Times New Roman"/>
                <w:color w:val="000000"/>
                <w:szCs w:val="21"/>
              </w:rPr>
            </w:pPr>
            <w:r>
              <w:rPr>
                <w:rFonts w:hint="eastAsia" w:ascii="Times New Roman" w:hAnsi="Times New Roman"/>
                <w:color w:val="000000"/>
                <w:szCs w:val="21"/>
              </w:rPr>
              <w:t>COD、BOD</w:t>
            </w:r>
            <w:r>
              <w:rPr>
                <w:rFonts w:hint="eastAsia" w:ascii="Times New Roman" w:hAnsi="Times New Roman"/>
                <w:color w:val="000000"/>
                <w:szCs w:val="21"/>
                <w:vertAlign w:val="subscript"/>
              </w:rPr>
              <w:t>5</w:t>
            </w:r>
            <w:r>
              <w:rPr>
                <w:rFonts w:hint="eastAsia" w:ascii="Times New Roman" w:hAnsi="Times New Roman"/>
                <w:color w:val="000000"/>
                <w:szCs w:val="21"/>
              </w:rPr>
              <w:t>、NH</w:t>
            </w:r>
            <w:r>
              <w:rPr>
                <w:rFonts w:hint="eastAsia" w:ascii="Times New Roman" w:hAnsi="Times New Roman"/>
                <w:color w:val="000000"/>
                <w:szCs w:val="21"/>
                <w:vertAlign w:val="subscript"/>
              </w:rPr>
              <w:t>3</w:t>
            </w:r>
            <w:r>
              <w:rPr>
                <w:rFonts w:hint="eastAsia" w:ascii="Times New Roman" w:hAnsi="Times New Roman"/>
                <w:color w:val="000000"/>
                <w:szCs w:val="21"/>
              </w:rPr>
              <w:t>-N</w:t>
            </w:r>
          </w:p>
        </w:tc>
        <w:tc>
          <w:tcPr>
            <w:tcW w:w="2198" w:type="dxa"/>
            <w:tcBorders>
              <w:right w:val="single" w:color="auto" w:sz="4" w:space="0"/>
            </w:tcBorders>
            <w:vAlign w:val="center"/>
          </w:tcPr>
          <w:p>
            <w:pPr>
              <w:tabs>
                <w:tab w:val="left" w:pos="-2848"/>
              </w:tabs>
              <w:spacing w:line="286" w:lineRule="auto"/>
              <w:jc w:val="center"/>
              <w:rPr>
                <w:rFonts w:ascii="Times New Roman" w:hAnsi="宋体"/>
                <w:color w:val="000000"/>
                <w:position w:val="-10"/>
                <w:szCs w:val="21"/>
              </w:rPr>
            </w:pPr>
            <w:r>
              <w:rPr>
                <w:rFonts w:hint="eastAsia" w:ascii="Times New Roman" w:hAnsi="Times New Roman"/>
                <w:bCs/>
                <w:color w:val="000000"/>
                <w:szCs w:val="21"/>
              </w:rPr>
              <w:t>0.6</w:t>
            </w:r>
            <w:r>
              <w:rPr>
                <w:rFonts w:ascii="Times New Roman" w:hAnsi="Times New Roman"/>
                <w:bCs/>
                <w:color w:val="000000"/>
                <w:szCs w:val="21"/>
              </w:rPr>
              <w:t>m</w:t>
            </w:r>
            <w:r>
              <w:rPr>
                <w:rFonts w:ascii="Times New Roman" w:hAnsi="Times New Roman"/>
                <w:bCs/>
                <w:color w:val="000000"/>
                <w:szCs w:val="21"/>
                <w:vertAlign w:val="superscript"/>
              </w:rPr>
              <w:t>3</w:t>
            </w:r>
            <w:r>
              <w:rPr>
                <w:rFonts w:ascii="Times New Roman" w:hAnsi="Times New Roman"/>
                <w:bCs/>
                <w:color w:val="000000"/>
                <w:szCs w:val="21"/>
              </w:rPr>
              <w:t>/d</w:t>
            </w:r>
          </w:p>
        </w:tc>
        <w:tc>
          <w:tcPr>
            <w:tcW w:w="2375" w:type="dxa"/>
            <w:tcBorders>
              <w:left w:val="single" w:color="auto" w:sz="4" w:space="0"/>
            </w:tcBorders>
            <w:vAlign w:val="center"/>
          </w:tcPr>
          <w:p>
            <w:pPr>
              <w:tabs>
                <w:tab w:val="left" w:pos="-2848"/>
              </w:tabs>
              <w:spacing w:line="286" w:lineRule="auto"/>
              <w:jc w:val="center"/>
              <w:rPr>
                <w:rFonts w:ascii="Times New Roman" w:hAnsi="宋体"/>
                <w:color w:val="000000"/>
                <w:position w:val="-10"/>
                <w:szCs w:val="21"/>
              </w:rPr>
            </w:pPr>
            <w:r>
              <w:rPr>
                <w:rFonts w:hint="eastAsia" w:ascii="Times New Roman" w:hAnsi="Times New Roman"/>
                <w:bCs/>
                <w:color w:val="000000"/>
                <w:szCs w:val="21"/>
              </w:rPr>
              <w:t>0.6</w:t>
            </w:r>
            <w:r>
              <w:rPr>
                <w:rFonts w:ascii="Times New Roman" w:hAnsi="Times New Roman"/>
                <w:bCs/>
                <w:color w:val="000000"/>
                <w:szCs w:val="21"/>
              </w:rPr>
              <w:t>m</w:t>
            </w:r>
            <w:r>
              <w:rPr>
                <w:rFonts w:ascii="Times New Roman" w:hAnsi="Times New Roman"/>
                <w:bCs/>
                <w:color w:val="000000"/>
                <w:szCs w:val="21"/>
                <w:vertAlign w:val="superscript"/>
              </w:rPr>
              <w:t>3</w:t>
            </w:r>
            <w:r>
              <w:rPr>
                <w:rFonts w:ascii="Times New Roman" w:hAnsi="Times New Roman"/>
                <w:bCs/>
                <w:color w:val="000000"/>
                <w:szCs w:val="21"/>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4" w:type="dxa"/>
            <w:vMerge w:val="continue"/>
            <w:vAlign w:val="center"/>
          </w:tcPr>
          <w:p>
            <w:pPr>
              <w:spacing w:line="312" w:lineRule="auto"/>
              <w:jc w:val="center"/>
              <w:rPr>
                <w:rFonts w:ascii="宋体" w:hAnsi="宋体"/>
                <w:b/>
                <w:bCs/>
                <w:color w:val="FF0000"/>
                <w:sz w:val="24"/>
                <w:szCs w:val="24"/>
              </w:rPr>
            </w:pPr>
          </w:p>
        </w:tc>
        <w:tc>
          <w:tcPr>
            <w:tcW w:w="420" w:type="dxa"/>
            <w:vMerge w:val="restart"/>
            <w:tcBorders>
              <w:top w:val="single" w:color="auto" w:sz="4" w:space="0"/>
              <w:right w:val="single" w:color="auto" w:sz="4" w:space="0"/>
            </w:tcBorders>
            <w:vAlign w:val="center"/>
          </w:tcPr>
          <w:p>
            <w:pPr>
              <w:spacing w:line="286" w:lineRule="auto"/>
              <w:jc w:val="center"/>
              <w:rPr>
                <w:rFonts w:ascii="Times New Roman" w:hAnsi="Times New Roman"/>
                <w:color w:val="000000"/>
                <w:szCs w:val="21"/>
              </w:rPr>
            </w:pPr>
            <w:r>
              <w:rPr>
                <w:rFonts w:hint="eastAsia" w:ascii="Times New Roman" w:hAnsi="Times New Roman"/>
                <w:color w:val="000000"/>
                <w:szCs w:val="21"/>
              </w:rPr>
              <w:t>运营期</w:t>
            </w:r>
          </w:p>
        </w:tc>
        <w:tc>
          <w:tcPr>
            <w:tcW w:w="1262" w:type="dxa"/>
            <w:tcBorders>
              <w:top w:val="single" w:color="auto" w:sz="4" w:space="0"/>
              <w:left w:val="single" w:color="auto" w:sz="4" w:space="0"/>
            </w:tcBorders>
            <w:vAlign w:val="center"/>
          </w:tcPr>
          <w:p>
            <w:pPr>
              <w:spacing w:line="286" w:lineRule="auto"/>
              <w:jc w:val="center"/>
              <w:rPr>
                <w:rFonts w:ascii="Times New Roman" w:hAnsi="Times New Roman"/>
                <w:color w:val="000000"/>
                <w:szCs w:val="21"/>
              </w:rPr>
            </w:pPr>
            <w:r>
              <w:rPr>
                <w:rFonts w:ascii="Times New Roman" w:hAnsi="宋体"/>
                <w:color w:val="000000"/>
                <w:szCs w:val="21"/>
              </w:rPr>
              <w:t>工业废水</w:t>
            </w:r>
            <w:r>
              <w:rPr>
                <w:rFonts w:hint="eastAsia" w:ascii="Times New Roman" w:hAnsi="Times New Roman"/>
                <w:color w:val="000000"/>
                <w:szCs w:val="21"/>
              </w:rPr>
              <w:t>（6000t/a)</w:t>
            </w:r>
          </w:p>
        </w:tc>
        <w:tc>
          <w:tcPr>
            <w:tcW w:w="1679" w:type="dxa"/>
            <w:vAlign w:val="center"/>
          </w:tcPr>
          <w:p>
            <w:pPr>
              <w:spacing w:line="286" w:lineRule="auto"/>
              <w:jc w:val="center"/>
              <w:rPr>
                <w:rFonts w:ascii="Times New Roman" w:hAnsi="Times New Roman"/>
                <w:color w:val="000000"/>
                <w:szCs w:val="21"/>
              </w:rPr>
            </w:pPr>
            <w:r>
              <w:rPr>
                <w:rFonts w:ascii="Times New Roman" w:hAnsi="Times New Roman"/>
                <w:color w:val="000000"/>
                <w:szCs w:val="21"/>
              </w:rPr>
              <w:t>SS</w:t>
            </w:r>
          </w:p>
        </w:tc>
        <w:tc>
          <w:tcPr>
            <w:tcW w:w="4573" w:type="dxa"/>
            <w:gridSpan w:val="2"/>
            <w:vAlign w:val="center"/>
          </w:tcPr>
          <w:p>
            <w:pPr>
              <w:tabs>
                <w:tab w:val="left" w:pos="-2848"/>
              </w:tabs>
              <w:spacing w:line="286" w:lineRule="auto"/>
              <w:rPr>
                <w:rFonts w:ascii="Times New Roman" w:hAnsi="Times New Roman"/>
                <w:color w:val="000000"/>
                <w:position w:val="-10"/>
                <w:szCs w:val="21"/>
              </w:rPr>
            </w:pPr>
            <w:r>
              <w:rPr>
                <w:rFonts w:ascii="Times New Roman" w:hAnsi="宋体"/>
                <w:color w:val="000000"/>
                <w:position w:val="-10"/>
                <w:szCs w:val="21"/>
              </w:rPr>
              <w:t>经自建三级沉淀池</w:t>
            </w:r>
            <w:r>
              <w:rPr>
                <w:rFonts w:hint="eastAsia" w:ascii="Times New Roman" w:hAnsi="宋体"/>
                <w:color w:val="000000"/>
                <w:position w:val="-10"/>
                <w:szCs w:val="21"/>
              </w:rPr>
              <w:t>+清水池</w:t>
            </w:r>
            <w:r>
              <w:rPr>
                <w:rFonts w:ascii="Times New Roman" w:hAnsi="宋体"/>
                <w:color w:val="000000"/>
                <w:position w:val="-10"/>
                <w:szCs w:val="21"/>
              </w:rPr>
              <w:t>过滤后达标后全部回用，不外排</w:t>
            </w:r>
            <w:r>
              <w:rPr>
                <w:rFonts w:hint="eastAsia" w:ascii="Times New Roman" w:hAnsi="宋体"/>
                <w:color w:val="000000"/>
                <w:position w:val="-10"/>
                <w:szCs w:val="21"/>
              </w:rPr>
              <w:t>，</w:t>
            </w:r>
            <w:r>
              <w:rPr>
                <w:rFonts w:ascii="Times New Roman" w:hAnsi="宋体"/>
                <w:color w:val="000000"/>
                <w:position w:val="-10"/>
                <w:szCs w:val="21"/>
              </w:rPr>
              <w:t>不会对周围环境产生直接影响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94" w:type="dxa"/>
            <w:vMerge w:val="continue"/>
            <w:vAlign w:val="center"/>
          </w:tcPr>
          <w:p>
            <w:pPr>
              <w:spacing w:line="312" w:lineRule="auto"/>
              <w:jc w:val="center"/>
              <w:rPr>
                <w:rFonts w:ascii="宋体" w:hAnsi="宋体"/>
                <w:b/>
                <w:bCs/>
                <w:color w:val="FF0000"/>
                <w:sz w:val="24"/>
                <w:szCs w:val="24"/>
                <w:highlight w:val="yellow"/>
              </w:rPr>
            </w:pPr>
          </w:p>
        </w:tc>
        <w:tc>
          <w:tcPr>
            <w:tcW w:w="420" w:type="dxa"/>
            <w:vMerge w:val="continue"/>
            <w:tcBorders>
              <w:right w:val="single" w:color="auto" w:sz="4" w:space="0"/>
            </w:tcBorders>
            <w:vAlign w:val="center"/>
          </w:tcPr>
          <w:p>
            <w:pPr>
              <w:spacing w:line="312" w:lineRule="auto"/>
              <w:jc w:val="center"/>
              <w:rPr>
                <w:rFonts w:ascii="Times New Roman" w:hAnsi="Times New Roman"/>
                <w:color w:val="000000"/>
                <w:spacing w:val="-6"/>
                <w:szCs w:val="21"/>
              </w:rPr>
            </w:pPr>
          </w:p>
        </w:tc>
        <w:tc>
          <w:tcPr>
            <w:tcW w:w="1262" w:type="dxa"/>
            <w:vMerge w:val="restart"/>
            <w:tcBorders>
              <w:top w:val="single" w:color="auto" w:sz="4" w:space="0"/>
              <w:left w:val="single" w:color="auto" w:sz="4" w:space="0"/>
            </w:tcBorders>
            <w:vAlign w:val="center"/>
          </w:tcPr>
          <w:p>
            <w:pPr>
              <w:spacing w:line="312" w:lineRule="auto"/>
              <w:jc w:val="center"/>
              <w:rPr>
                <w:rFonts w:ascii="Times New Roman" w:hAnsi="Times New Roman"/>
                <w:color w:val="000000" w:themeColor="text1"/>
                <w:szCs w:val="21"/>
              </w:rPr>
            </w:pPr>
            <w:r>
              <w:rPr>
                <w:rFonts w:ascii="Times New Roman" w:hAnsi="Times New Roman"/>
                <w:color w:val="000000" w:themeColor="text1"/>
                <w:szCs w:val="21"/>
              </w:rPr>
              <w:t>生活污水</w:t>
            </w:r>
          </w:p>
          <w:p>
            <w:pPr>
              <w:spacing w:line="312" w:lineRule="auto"/>
              <w:jc w:val="center"/>
              <w:rPr>
                <w:rFonts w:ascii="Times New Roman" w:hAnsi="Times New Roman"/>
                <w:color w:val="000000" w:themeColor="text1"/>
                <w:spacing w:val="-6"/>
                <w:szCs w:val="21"/>
              </w:rPr>
            </w:pPr>
            <w:r>
              <w:rPr>
                <w:rFonts w:ascii="Times New Roman" w:hAnsi="Times New Roman"/>
                <w:color w:val="000000" w:themeColor="text1"/>
                <w:szCs w:val="21"/>
              </w:rPr>
              <w:t>（</w:t>
            </w:r>
            <w:r>
              <w:rPr>
                <w:rFonts w:hint="eastAsia" w:ascii="Times New Roman" w:hAnsi="Times New Roman"/>
                <w:color w:val="000000" w:themeColor="text1"/>
                <w:szCs w:val="21"/>
              </w:rPr>
              <w:t>864</w:t>
            </w:r>
            <w:r>
              <w:rPr>
                <w:rFonts w:ascii="Times New Roman" w:hAnsi="Times New Roman"/>
                <w:color w:val="000000" w:themeColor="text1"/>
                <w:szCs w:val="21"/>
              </w:rPr>
              <w:t>t/a)</w:t>
            </w:r>
          </w:p>
        </w:tc>
        <w:tc>
          <w:tcPr>
            <w:tcW w:w="1679" w:type="dxa"/>
            <w:vAlign w:val="center"/>
          </w:tcPr>
          <w:p>
            <w:pPr>
              <w:tabs>
                <w:tab w:val="left" w:pos="-2848"/>
              </w:tabs>
              <w:jc w:val="center"/>
              <w:rPr>
                <w:rFonts w:ascii="Times New Roman" w:hAnsi="Times New Roman"/>
                <w:color w:val="000000" w:themeColor="text1"/>
                <w:position w:val="-10"/>
                <w:szCs w:val="21"/>
              </w:rPr>
            </w:pPr>
            <w:r>
              <w:rPr>
                <w:rFonts w:ascii="Times New Roman" w:hAnsi="Times New Roman"/>
                <w:color w:val="000000" w:themeColor="text1"/>
                <w:position w:val="-10"/>
                <w:szCs w:val="21"/>
              </w:rPr>
              <w:t>CODcr</w:t>
            </w:r>
          </w:p>
        </w:tc>
        <w:tc>
          <w:tcPr>
            <w:tcW w:w="2198"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400mg/L；0.</w:t>
            </w:r>
            <w:r>
              <w:rPr>
                <w:rFonts w:hint="eastAsia" w:ascii="Times New Roman" w:hAnsi="Times New Roman"/>
                <w:color w:val="000000" w:themeColor="text1"/>
                <w:szCs w:val="21"/>
              </w:rPr>
              <w:t>346</w:t>
            </w:r>
            <w:r>
              <w:rPr>
                <w:rFonts w:ascii="Times New Roman" w:hAnsi="Times New Roman"/>
                <w:color w:val="000000" w:themeColor="text1"/>
                <w:szCs w:val="21"/>
              </w:rPr>
              <w:t>t/a</w:t>
            </w:r>
          </w:p>
        </w:tc>
        <w:tc>
          <w:tcPr>
            <w:tcW w:w="2375"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200</w:t>
            </w:r>
            <w:r>
              <w:rPr>
                <w:rFonts w:ascii="Times New Roman" w:hAnsi="Times New Roman"/>
                <w:color w:val="000000" w:themeColor="text1"/>
                <w:szCs w:val="21"/>
              </w:rPr>
              <w:t>mg/L；0.</w:t>
            </w:r>
            <w:r>
              <w:rPr>
                <w:rFonts w:hint="eastAsia" w:ascii="Times New Roman" w:hAnsi="Times New Roman"/>
                <w:color w:val="000000" w:themeColor="text1"/>
                <w:szCs w:val="21"/>
              </w:rPr>
              <w:t>173</w:t>
            </w:r>
            <w:r>
              <w:rPr>
                <w:rFonts w:ascii="Times New Roman" w:hAnsi="Times New Roman"/>
                <w:color w:val="000000" w:themeColor="text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94" w:type="dxa"/>
            <w:vMerge w:val="continue"/>
            <w:vAlign w:val="center"/>
          </w:tcPr>
          <w:p>
            <w:pPr>
              <w:spacing w:line="312" w:lineRule="auto"/>
              <w:jc w:val="center"/>
              <w:rPr>
                <w:rFonts w:ascii="宋体" w:hAnsi="宋体"/>
                <w:color w:val="FF0000"/>
                <w:sz w:val="24"/>
                <w:szCs w:val="24"/>
                <w:highlight w:val="yellow"/>
              </w:rPr>
            </w:pPr>
          </w:p>
        </w:tc>
        <w:tc>
          <w:tcPr>
            <w:tcW w:w="420" w:type="dxa"/>
            <w:vMerge w:val="continue"/>
            <w:tcBorders>
              <w:right w:val="single" w:color="auto" w:sz="4" w:space="0"/>
            </w:tcBorders>
            <w:vAlign w:val="center"/>
          </w:tcPr>
          <w:p>
            <w:pPr>
              <w:spacing w:line="312" w:lineRule="auto"/>
              <w:jc w:val="center"/>
              <w:rPr>
                <w:rFonts w:ascii="Times New Roman" w:hAnsi="Times New Roman"/>
                <w:color w:val="000000"/>
                <w:szCs w:val="21"/>
              </w:rPr>
            </w:pPr>
          </w:p>
        </w:tc>
        <w:tc>
          <w:tcPr>
            <w:tcW w:w="1262" w:type="dxa"/>
            <w:vMerge w:val="continue"/>
            <w:tcBorders>
              <w:left w:val="single" w:color="auto" w:sz="4" w:space="0"/>
            </w:tcBorders>
            <w:vAlign w:val="center"/>
          </w:tcPr>
          <w:p>
            <w:pPr>
              <w:spacing w:line="312" w:lineRule="auto"/>
              <w:jc w:val="center"/>
              <w:rPr>
                <w:rFonts w:ascii="Times New Roman" w:hAnsi="Times New Roman"/>
                <w:color w:val="000000" w:themeColor="text1"/>
                <w:szCs w:val="21"/>
              </w:rPr>
            </w:pPr>
          </w:p>
        </w:tc>
        <w:tc>
          <w:tcPr>
            <w:tcW w:w="1679"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BOD</w:t>
            </w:r>
            <w:r>
              <w:rPr>
                <w:rFonts w:ascii="Times New Roman" w:hAnsi="Times New Roman"/>
                <w:color w:val="000000" w:themeColor="text1"/>
                <w:szCs w:val="21"/>
                <w:vertAlign w:val="subscript"/>
              </w:rPr>
              <w:t>5</w:t>
            </w:r>
          </w:p>
        </w:tc>
        <w:tc>
          <w:tcPr>
            <w:tcW w:w="2198"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200mg/L；0.</w:t>
            </w:r>
            <w:r>
              <w:rPr>
                <w:rFonts w:hint="eastAsia" w:ascii="Times New Roman" w:hAnsi="Times New Roman"/>
                <w:color w:val="000000" w:themeColor="text1"/>
                <w:szCs w:val="21"/>
              </w:rPr>
              <w:t>173</w:t>
            </w:r>
            <w:r>
              <w:rPr>
                <w:rFonts w:ascii="Times New Roman" w:hAnsi="Times New Roman"/>
                <w:color w:val="000000" w:themeColor="text1"/>
                <w:szCs w:val="21"/>
              </w:rPr>
              <w:t>t/a</w:t>
            </w:r>
          </w:p>
        </w:tc>
        <w:tc>
          <w:tcPr>
            <w:tcW w:w="2375"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100</w:t>
            </w:r>
            <w:r>
              <w:rPr>
                <w:rFonts w:ascii="Times New Roman" w:hAnsi="Times New Roman"/>
                <w:color w:val="000000" w:themeColor="text1"/>
                <w:szCs w:val="21"/>
              </w:rPr>
              <w:t>mg/L；0.0</w:t>
            </w:r>
            <w:r>
              <w:rPr>
                <w:rFonts w:hint="eastAsia" w:ascii="Times New Roman" w:hAnsi="Times New Roman"/>
                <w:color w:val="000000" w:themeColor="text1"/>
                <w:szCs w:val="21"/>
              </w:rPr>
              <w:t>86</w:t>
            </w:r>
            <w:r>
              <w:rPr>
                <w:rFonts w:ascii="Times New Roman" w:hAnsi="Times New Roman"/>
                <w:color w:val="000000" w:themeColor="text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94" w:type="dxa"/>
            <w:vMerge w:val="continue"/>
            <w:vAlign w:val="center"/>
          </w:tcPr>
          <w:p>
            <w:pPr>
              <w:spacing w:line="312" w:lineRule="auto"/>
              <w:jc w:val="center"/>
              <w:rPr>
                <w:rFonts w:ascii="宋体" w:hAnsi="宋体"/>
                <w:color w:val="FF0000"/>
                <w:sz w:val="24"/>
                <w:szCs w:val="24"/>
                <w:highlight w:val="yellow"/>
              </w:rPr>
            </w:pPr>
          </w:p>
        </w:tc>
        <w:tc>
          <w:tcPr>
            <w:tcW w:w="420" w:type="dxa"/>
            <w:vMerge w:val="continue"/>
            <w:tcBorders>
              <w:right w:val="single" w:color="auto" w:sz="4" w:space="0"/>
            </w:tcBorders>
            <w:vAlign w:val="center"/>
          </w:tcPr>
          <w:p>
            <w:pPr>
              <w:spacing w:line="312" w:lineRule="auto"/>
              <w:jc w:val="center"/>
              <w:rPr>
                <w:rFonts w:ascii="Times New Roman" w:hAnsi="Times New Roman"/>
                <w:color w:val="000000"/>
                <w:szCs w:val="21"/>
              </w:rPr>
            </w:pPr>
          </w:p>
        </w:tc>
        <w:tc>
          <w:tcPr>
            <w:tcW w:w="1262" w:type="dxa"/>
            <w:vMerge w:val="continue"/>
            <w:tcBorders>
              <w:left w:val="single" w:color="auto" w:sz="4" w:space="0"/>
            </w:tcBorders>
            <w:vAlign w:val="center"/>
          </w:tcPr>
          <w:p>
            <w:pPr>
              <w:spacing w:line="312" w:lineRule="auto"/>
              <w:jc w:val="center"/>
              <w:rPr>
                <w:rFonts w:ascii="Times New Roman" w:hAnsi="Times New Roman"/>
                <w:color w:val="000000" w:themeColor="text1"/>
                <w:szCs w:val="21"/>
              </w:rPr>
            </w:pPr>
          </w:p>
        </w:tc>
        <w:tc>
          <w:tcPr>
            <w:tcW w:w="1679"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SS</w:t>
            </w:r>
          </w:p>
        </w:tc>
        <w:tc>
          <w:tcPr>
            <w:tcW w:w="2198" w:type="dxa"/>
            <w:tcBorders>
              <w:top w:val="single" w:color="auto" w:sz="4"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220mg/l；0.</w:t>
            </w:r>
            <w:r>
              <w:rPr>
                <w:rFonts w:hint="eastAsia" w:ascii="Times New Roman" w:hAnsi="Times New Roman"/>
                <w:color w:val="000000" w:themeColor="text1"/>
                <w:szCs w:val="21"/>
              </w:rPr>
              <w:t>190</w:t>
            </w:r>
            <w:r>
              <w:rPr>
                <w:rFonts w:ascii="Times New Roman" w:hAnsi="Times New Roman"/>
                <w:color w:val="000000" w:themeColor="text1"/>
                <w:szCs w:val="21"/>
              </w:rPr>
              <w:t>t/a</w:t>
            </w:r>
          </w:p>
        </w:tc>
        <w:tc>
          <w:tcPr>
            <w:tcW w:w="2375" w:type="dxa"/>
            <w:tcBorders>
              <w:top w:val="single" w:color="auto" w:sz="4"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100mg/L；0.</w:t>
            </w:r>
            <w:r>
              <w:rPr>
                <w:rFonts w:hint="eastAsia" w:ascii="Times New Roman" w:hAnsi="Times New Roman"/>
                <w:color w:val="000000" w:themeColor="text1"/>
                <w:szCs w:val="21"/>
              </w:rPr>
              <w:t>086</w:t>
            </w:r>
            <w:r>
              <w:rPr>
                <w:rFonts w:ascii="Times New Roman" w:hAnsi="Times New Roman"/>
                <w:color w:val="000000" w:themeColor="text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94" w:type="dxa"/>
            <w:vMerge w:val="restart"/>
            <w:vAlign w:val="center"/>
          </w:tcPr>
          <w:p>
            <w:pPr>
              <w:spacing w:line="312" w:lineRule="auto"/>
              <w:jc w:val="center"/>
              <w:rPr>
                <w:rFonts w:ascii="Times New Roman" w:hAnsi="Times New Roman"/>
                <w:b/>
                <w:bCs/>
                <w:color w:val="000000"/>
                <w:sz w:val="24"/>
                <w:szCs w:val="24"/>
              </w:rPr>
            </w:pPr>
            <w:r>
              <w:rPr>
                <w:rFonts w:ascii="Times New Roman" w:hAnsi="宋体"/>
                <w:b/>
                <w:bCs/>
                <w:color w:val="000000"/>
                <w:sz w:val="24"/>
                <w:szCs w:val="24"/>
              </w:rPr>
              <w:t>固</w:t>
            </w:r>
          </w:p>
          <w:p>
            <w:pPr>
              <w:spacing w:line="312" w:lineRule="auto"/>
              <w:jc w:val="center"/>
              <w:rPr>
                <w:rFonts w:ascii="Times New Roman" w:hAnsi="Times New Roman"/>
                <w:b/>
                <w:bCs/>
                <w:color w:val="000000"/>
                <w:sz w:val="24"/>
                <w:szCs w:val="24"/>
              </w:rPr>
            </w:pPr>
            <w:r>
              <w:rPr>
                <w:rFonts w:ascii="Times New Roman" w:hAnsi="宋体"/>
                <w:b/>
                <w:bCs/>
                <w:color w:val="000000"/>
                <w:sz w:val="24"/>
                <w:szCs w:val="24"/>
              </w:rPr>
              <w:t>体</w:t>
            </w:r>
          </w:p>
          <w:p>
            <w:pPr>
              <w:spacing w:line="312" w:lineRule="auto"/>
              <w:jc w:val="center"/>
              <w:rPr>
                <w:rFonts w:ascii="Times New Roman" w:hAnsi="Times New Roman"/>
                <w:b/>
                <w:bCs/>
                <w:color w:val="000000"/>
                <w:sz w:val="24"/>
                <w:szCs w:val="24"/>
              </w:rPr>
            </w:pPr>
            <w:r>
              <w:rPr>
                <w:rFonts w:ascii="Times New Roman" w:hAnsi="宋体"/>
                <w:b/>
                <w:bCs/>
                <w:color w:val="000000"/>
                <w:sz w:val="24"/>
                <w:szCs w:val="24"/>
              </w:rPr>
              <w:t>废</w:t>
            </w:r>
          </w:p>
          <w:p>
            <w:pPr>
              <w:spacing w:line="312" w:lineRule="auto"/>
              <w:jc w:val="center"/>
              <w:rPr>
                <w:rFonts w:ascii="Times New Roman" w:hAnsi="宋体"/>
                <w:b/>
                <w:bCs/>
                <w:color w:val="000000"/>
                <w:sz w:val="24"/>
                <w:szCs w:val="24"/>
              </w:rPr>
            </w:pPr>
            <w:r>
              <w:rPr>
                <w:rFonts w:ascii="Times New Roman" w:hAnsi="宋体"/>
                <w:b/>
                <w:bCs/>
                <w:color w:val="000000"/>
                <w:sz w:val="24"/>
                <w:szCs w:val="24"/>
              </w:rPr>
              <w:t>物</w:t>
            </w:r>
          </w:p>
        </w:tc>
        <w:tc>
          <w:tcPr>
            <w:tcW w:w="420" w:type="dxa"/>
            <w:vMerge w:val="restart"/>
            <w:tcBorders>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施工期</w:t>
            </w:r>
          </w:p>
        </w:tc>
        <w:tc>
          <w:tcPr>
            <w:tcW w:w="1262" w:type="dxa"/>
            <w:tcBorders>
              <w:left w:val="single" w:color="auto" w:sz="4" w:space="0"/>
              <w:bottom w:val="single" w:color="auto" w:sz="4" w:space="0"/>
            </w:tcBorders>
            <w:vAlign w:val="center"/>
          </w:tcPr>
          <w:p>
            <w:pPr>
              <w:spacing w:line="400" w:lineRule="exact"/>
              <w:jc w:val="center"/>
              <w:rPr>
                <w:color w:val="000000"/>
                <w:szCs w:val="21"/>
              </w:rPr>
            </w:pPr>
            <w:r>
              <w:rPr>
                <w:kern w:val="0"/>
                <w:szCs w:val="21"/>
              </w:rPr>
              <w:t>建筑垃圾</w:t>
            </w:r>
          </w:p>
        </w:tc>
        <w:tc>
          <w:tcPr>
            <w:tcW w:w="1679" w:type="dxa"/>
            <w:vAlign w:val="center"/>
          </w:tcPr>
          <w:p>
            <w:pPr>
              <w:spacing w:line="400" w:lineRule="exact"/>
              <w:jc w:val="center"/>
              <w:rPr>
                <w:color w:val="000000"/>
                <w:szCs w:val="21"/>
              </w:rPr>
            </w:pPr>
            <w:r>
              <w:rPr>
                <w:rFonts w:hint="eastAsia"/>
                <w:kern w:val="0"/>
                <w:szCs w:val="21"/>
              </w:rPr>
              <w:t>废建筑材料</w:t>
            </w:r>
          </w:p>
        </w:tc>
        <w:tc>
          <w:tcPr>
            <w:tcW w:w="2198" w:type="dxa"/>
            <w:vAlign w:val="center"/>
          </w:tcPr>
          <w:p>
            <w:pPr>
              <w:jc w:val="center"/>
              <w:rPr>
                <w:rFonts w:ascii="Times New Roman" w:hAnsi="Times New Roman"/>
                <w:color w:val="000000"/>
                <w:szCs w:val="21"/>
              </w:rPr>
            </w:pPr>
            <w:r>
              <w:rPr>
                <w:rFonts w:hint="eastAsia" w:ascii="Times New Roman" w:hAnsi="Times New Roman"/>
                <w:bCs/>
                <w:color w:val="000000" w:themeColor="text1"/>
                <w:szCs w:val="21"/>
              </w:rPr>
              <w:t>32t</w:t>
            </w:r>
          </w:p>
        </w:tc>
        <w:tc>
          <w:tcPr>
            <w:tcW w:w="2375" w:type="dxa"/>
            <w:vAlign w:val="center"/>
          </w:tcPr>
          <w:p>
            <w:pPr>
              <w:rPr>
                <w:rFonts w:ascii="Times New Roman" w:hAnsi="Times New Roman"/>
                <w:color w:val="000000"/>
                <w:szCs w:val="21"/>
              </w:rPr>
            </w:pPr>
            <w:r>
              <w:rPr>
                <w:rFonts w:ascii="Times New Roman" w:hAnsi="Times New Roman"/>
                <w:color w:val="000000"/>
                <w:szCs w:val="21"/>
              </w:rPr>
              <w:t>处理处置量：</w:t>
            </w:r>
            <w:r>
              <w:rPr>
                <w:rFonts w:hint="eastAsia" w:ascii="Times New Roman" w:hAnsi="Times New Roman"/>
                <w:bCs/>
                <w:color w:val="000000" w:themeColor="text1"/>
                <w:szCs w:val="21"/>
              </w:rPr>
              <w:t>32t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94" w:type="dxa"/>
            <w:vMerge w:val="continue"/>
            <w:vAlign w:val="center"/>
          </w:tcPr>
          <w:p>
            <w:pPr>
              <w:spacing w:line="312" w:lineRule="auto"/>
              <w:jc w:val="center"/>
              <w:rPr>
                <w:rFonts w:ascii="Times New Roman" w:hAnsi="宋体"/>
                <w:b/>
                <w:bCs/>
                <w:color w:val="000000"/>
                <w:sz w:val="24"/>
                <w:szCs w:val="24"/>
              </w:rPr>
            </w:pPr>
          </w:p>
        </w:tc>
        <w:tc>
          <w:tcPr>
            <w:tcW w:w="420" w:type="dxa"/>
            <w:vMerge w:val="continue"/>
            <w:tcBorders>
              <w:bottom w:val="single" w:color="auto" w:sz="4" w:space="0"/>
              <w:right w:val="single" w:color="auto" w:sz="4" w:space="0"/>
            </w:tcBorders>
            <w:vAlign w:val="center"/>
          </w:tcPr>
          <w:p>
            <w:pPr>
              <w:jc w:val="center"/>
              <w:rPr>
                <w:rFonts w:ascii="Times New Roman" w:hAnsi="Times New Roman"/>
                <w:color w:val="000000"/>
                <w:szCs w:val="21"/>
              </w:rPr>
            </w:pPr>
          </w:p>
        </w:tc>
        <w:tc>
          <w:tcPr>
            <w:tcW w:w="1262" w:type="dxa"/>
            <w:tcBorders>
              <w:left w:val="single" w:color="auto" w:sz="4" w:space="0"/>
              <w:bottom w:val="single" w:color="auto" w:sz="4" w:space="0"/>
            </w:tcBorders>
            <w:vAlign w:val="center"/>
          </w:tcPr>
          <w:p>
            <w:pPr>
              <w:spacing w:line="400" w:lineRule="exact"/>
              <w:jc w:val="center"/>
              <w:rPr>
                <w:kern w:val="0"/>
                <w:szCs w:val="21"/>
              </w:rPr>
            </w:pPr>
            <w:r>
              <w:rPr>
                <w:kern w:val="0"/>
                <w:szCs w:val="21"/>
              </w:rPr>
              <w:t>生活垃圾</w:t>
            </w:r>
          </w:p>
        </w:tc>
        <w:tc>
          <w:tcPr>
            <w:tcW w:w="1679" w:type="dxa"/>
            <w:vAlign w:val="center"/>
          </w:tcPr>
          <w:p>
            <w:pPr>
              <w:spacing w:line="400" w:lineRule="exact"/>
              <w:jc w:val="center"/>
              <w:rPr>
                <w:kern w:val="0"/>
                <w:szCs w:val="21"/>
              </w:rPr>
            </w:pPr>
            <w:r>
              <w:rPr>
                <w:kern w:val="0"/>
                <w:szCs w:val="21"/>
              </w:rPr>
              <w:t>生活垃圾</w:t>
            </w:r>
          </w:p>
        </w:tc>
        <w:tc>
          <w:tcPr>
            <w:tcW w:w="2198" w:type="dxa"/>
            <w:vAlign w:val="center"/>
          </w:tcPr>
          <w:p>
            <w:pPr>
              <w:jc w:val="center"/>
              <w:rPr>
                <w:rFonts w:ascii="Times New Roman" w:hAnsi="Times New Roman"/>
                <w:color w:val="000000"/>
                <w:szCs w:val="21"/>
              </w:rPr>
            </w:pPr>
            <w:r>
              <w:rPr>
                <w:rFonts w:hint="eastAsia" w:ascii="Times New Roman" w:hAnsi="Times New Roman"/>
                <w:bCs/>
                <w:color w:val="000000"/>
                <w:szCs w:val="21"/>
              </w:rPr>
              <w:t>7.5kg/d</w:t>
            </w:r>
          </w:p>
        </w:tc>
        <w:tc>
          <w:tcPr>
            <w:tcW w:w="2375" w:type="dxa"/>
            <w:vAlign w:val="center"/>
          </w:tcPr>
          <w:p>
            <w:pPr>
              <w:rPr>
                <w:rFonts w:ascii="Times New Roman" w:hAnsi="Times New Roman"/>
                <w:color w:val="000000"/>
                <w:szCs w:val="21"/>
              </w:rPr>
            </w:pPr>
            <w:r>
              <w:rPr>
                <w:rFonts w:ascii="Times New Roman" w:hAnsi="Times New Roman"/>
                <w:color w:val="000000"/>
                <w:szCs w:val="21"/>
              </w:rPr>
              <w:t>处理处置量：</w:t>
            </w:r>
            <w:r>
              <w:rPr>
                <w:rFonts w:hint="eastAsia" w:ascii="Times New Roman" w:hAnsi="Times New Roman"/>
                <w:bCs/>
                <w:color w:val="000000"/>
                <w:szCs w:val="21"/>
              </w:rPr>
              <w:t>7.5kg/d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94" w:type="dxa"/>
            <w:vMerge w:val="continue"/>
            <w:vAlign w:val="center"/>
          </w:tcPr>
          <w:p>
            <w:pPr>
              <w:spacing w:line="312" w:lineRule="auto"/>
              <w:jc w:val="center"/>
              <w:rPr>
                <w:rFonts w:ascii="Times New Roman" w:hAnsi="Times New Roman"/>
                <w:b/>
                <w:bCs/>
                <w:color w:val="000000"/>
                <w:sz w:val="24"/>
                <w:szCs w:val="24"/>
              </w:rPr>
            </w:pPr>
          </w:p>
        </w:tc>
        <w:tc>
          <w:tcPr>
            <w:tcW w:w="420" w:type="dxa"/>
            <w:vMerge w:val="restart"/>
            <w:tcBorders>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运营期</w:t>
            </w:r>
          </w:p>
        </w:tc>
        <w:tc>
          <w:tcPr>
            <w:tcW w:w="1262" w:type="dxa"/>
            <w:tcBorders>
              <w:left w:val="single" w:color="auto" w:sz="4" w:space="0"/>
              <w:bottom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员工办公</w:t>
            </w:r>
          </w:p>
        </w:tc>
        <w:tc>
          <w:tcPr>
            <w:tcW w:w="1679" w:type="dxa"/>
            <w:vAlign w:val="center"/>
          </w:tcPr>
          <w:p>
            <w:pPr>
              <w:jc w:val="center"/>
              <w:rPr>
                <w:rFonts w:ascii="Times New Roman" w:hAnsi="Times New Roman"/>
                <w:color w:val="000000"/>
                <w:szCs w:val="21"/>
              </w:rPr>
            </w:pPr>
            <w:r>
              <w:rPr>
                <w:rFonts w:ascii="Times New Roman" w:hAnsi="Times New Roman"/>
                <w:color w:val="000000"/>
                <w:szCs w:val="21"/>
              </w:rPr>
              <w:t>生活垃圾</w:t>
            </w:r>
          </w:p>
        </w:tc>
        <w:tc>
          <w:tcPr>
            <w:tcW w:w="2198" w:type="dxa"/>
            <w:vAlign w:val="center"/>
          </w:tcPr>
          <w:p>
            <w:pPr>
              <w:jc w:val="center"/>
              <w:rPr>
                <w:rFonts w:ascii="Times New Roman" w:hAnsi="Times New Roman"/>
                <w:color w:val="000000"/>
                <w:szCs w:val="21"/>
              </w:rPr>
            </w:pPr>
            <w:r>
              <w:rPr>
                <w:rFonts w:ascii="Times New Roman" w:hAnsi="Times New Roman"/>
                <w:color w:val="000000"/>
                <w:szCs w:val="21"/>
              </w:rPr>
              <w:t>12t/a</w:t>
            </w:r>
          </w:p>
        </w:tc>
        <w:tc>
          <w:tcPr>
            <w:tcW w:w="2375" w:type="dxa"/>
            <w:vAlign w:val="center"/>
          </w:tcPr>
          <w:p>
            <w:pPr>
              <w:rPr>
                <w:rFonts w:ascii="Times New Roman" w:hAnsi="Times New Roman"/>
                <w:color w:val="000000"/>
                <w:szCs w:val="21"/>
              </w:rPr>
            </w:pPr>
            <w:r>
              <w:rPr>
                <w:rFonts w:ascii="Times New Roman" w:hAnsi="Times New Roman"/>
                <w:color w:val="000000"/>
                <w:szCs w:val="21"/>
              </w:rPr>
              <w:t>处理处置量：12t/a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85" w:hRule="atLeast"/>
          <w:jc w:val="center"/>
        </w:trPr>
        <w:tc>
          <w:tcPr>
            <w:tcW w:w="894" w:type="dxa"/>
            <w:vMerge w:val="continue"/>
            <w:vAlign w:val="center"/>
          </w:tcPr>
          <w:p>
            <w:pPr>
              <w:spacing w:line="312" w:lineRule="auto"/>
              <w:jc w:val="center"/>
              <w:rPr>
                <w:rFonts w:ascii="Times New Roman" w:hAnsi="Times New Roman"/>
                <w:b/>
                <w:bCs/>
                <w:color w:val="000000"/>
                <w:sz w:val="24"/>
                <w:szCs w:val="24"/>
              </w:rPr>
            </w:pPr>
          </w:p>
        </w:tc>
        <w:tc>
          <w:tcPr>
            <w:tcW w:w="420" w:type="dxa"/>
            <w:vMerge w:val="continue"/>
            <w:tcBorders>
              <w:right w:val="single" w:color="auto" w:sz="4" w:space="0"/>
            </w:tcBorders>
            <w:vAlign w:val="center"/>
          </w:tcPr>
          <w:p>
            <w:pPr>
              <w:jc w:val="center"/>
              <w:rPr>
                <w:rFonts w:ascii="Times New Roman" w:hAnsi="Times New Roman"/>
                <w:color w:val="000000"/>
                <w:szCs w:val="21"/>
              </w:rPr>
            </w:pPr>
          </w:p>
        </w:tc>
        <w:tc>
          <w:tcPr>
            <w:tcW w:w="1262" w:type="dxa"/>
            <w:tcBorders>
              <w:top w:val="single" w:color="auto" w:sz="4" w:space="0"/>
              <w:left w:val="single" w:color="auto" w:sz="4" w:space="0"/>
              <w:bottom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一般工业固体废物</w:t>
            </w:r>
          </w:p>
        </w:tc>
        <w:tc>
          <w:tcPr>
            <w:tcW w:w="1679" w:type="dxa"/>
            <w:tcBorders>
              <w:bottom w:val="single" w:color="auto" w:sz="8" w:space="0"/>
            </w:tcBorders>
            <w:vAlign w:val="center"/>
          </w:tcPr>
          <w:p>
            <w:pPr>
              <w:rPr>
                <w:rFonts w:ascii="Times New Roman" w:hAnsi="Times New Roman"/>
                <w:color w:val="000000"/>
                <w:szCs w:val="21"/>
              </w:rPr>
            </w:pPr>
            <w:r>
              <w:rPr>
                <w:rFonts w:ascii="Times New Roman" w:hAnsi="Times New Roman"/>
                <w:color w:val="000000"/>
                <w:szCs w:val="21"/>
              </w:rPr>
              <w:t>废沙石渣、剩余混凝土及沉淀池沉渣</w:t>
            </w:r>
          </w:p>
        </w:tc>
        <w:tc>
          <w:tcPr>
            <w:tcW w:w="2198" w:type="dxa"/>
            <w:tcBorders>
              <w:bottom w:val="single" w:color="auto" w:sz="8" w:space="0"/>
            </w:tcBorders>
            <w:vAlign w:val="center"/>
          </w:tcPr>
          <w:p>
            <w:pPr>
              <w:spacing w:line="312" w:lineRule="auto"/>
              <w:jc w:val="center"/>
              <w:rPr>
                <w:rFonts w:ascii="Times New Roman" w:hAnsi="Times New Roman"/>
                <w:color w:val="000000"/>
                <w:szCs w:val="21"/>
              </w:rPr>
            </w:pPr>
            <w:r>
              <w:rPr>
                <w:rFonts w:ascii="Times New Roman" w:hAnsi="Times New Roman"/>
                <w:bCs/>
                <w:color w:val="000000"/>
                <w:szCs w:val="21"/>
              </w:rPr>
              <w:t>480t/a</w:t>
            </w:r>
          </w:p>
        </w:tc>
        <w:tc>
          <w:tcPr>
            <w:tcW w:w="2375" w:type="dxa"/>
            <w:tcBorders>
              <w:bottom w:val="single" w:color="auto" w:sz="8" w:space="0"/>
            </w:tcBorders>
            <w:vAlign w:val="center"/>
          </w:tcPr>
          <w:p>
            <w:pPr>
              <w:spacing w:line="312" w:lineRule="auto"/>
              <w:rPr>
                <w:rFonts w:ascii="Times New Roman" w:hAnsi="Times New Roman"/>
                <w:color w:val="000000"/>
                <w:szCs w:val="21"/>
              </w:rPr>
            </w:pPr>
            <w:r>
              <w:rPr>
                <w:rFonts w:ascii="Times New Roman" w:hAnsi="Times New Roman"/>
                <w:color w:val="000000"/>
                <w:szCs w:val="21"/>
              </w:rPr>
              <w:t>处理处置量：</w:t>
            </w:r>
            <w:r>
              <w:rPr>
                <w:rFonts w:ascii="Times New Roman" w:hAnsi="Times New Roman"/>
                <w:bCs/>
                <w:color w:val="000000"/>
                <w:szCs w:val="21"/>
              </w:rPr>
              <w:t>480t/a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94" w:type="dxa"/>
            <w:vMerge w:val="continue"/>
            <w:vAlign w:val="center"/>
          </w:tcPr>
          <w:p>
            <w:pPr>
              <w:spacing w:line="312" w:lineRule="auto"/>
              <w:jc w:val="center"/>
              <w:rPr>
                <w:rFonts w:ascii="Times New Roman" w:hAnsi="Times New Roman"/>
                <w:b/>
                <w:bCs/>
                <w:color w:val="000000"/>
                <w:sz w:val="24"/>
                <w:szCs w:val="24"/>
                <w:highlight w:val="yellow"/>
              </w:rPr>
            </w:pPr>
          </w:p>
        </w:tc>
        <w:tc>
          <w:tcPr>
            <w:tcW w:w="420" w:type="dxa"/>
            <w:vMerge w:val="continue"/>
            <w:tcBorders>
              <w:bottom w:val="single" w:color="auto" w:sz="8" w:space="0"/>
              <w:right w:val="single" w:color="auto" w:sz="4" w:space="0"/>
            </w:tcBorders>
            <w:vAlign w:val="center"/>
          </w:tcPr>
          <w:p>
            <w:pPr>
              <w:adjustRightInd w:val="0"/>
              <w:snapToGrid w:val="0"/>
              <w:jc w:val="center"/>
              <w:rPr>
                <w:rFonts w:ascii="Times New Roman" w:hAnsi="Times New Roman"/>
                <w:color w:val="000000"/>
                <w:szCs w:val="21"/>
              </w:rPr>
            </w:pPr>
          </w:p>
        </w:tc>
        <w:tc>
          <w:tcPr>
            <w:tcW w:w="1262" w:type="dxa"/>
            <w:tcBorders>
              <w:top w:val="single" w:color="auto" w:sz="4" w:space="0"/>
              <w:left w:val="single" w:color="auto" w:sz="4" w:space="0"/>
              <w:bottom w:val="single" w:color="auto" w:sz="8" w:space="0"/>
            </w:tcBorders>
            <w:vAlign w:val="center"/>
          </w:tcPr>
          <w:p>
            <w:pPr>
              <w:adjustRightInd w:val="0"/>
              <w:snapToGrid w:val="0"/>
              <w:jc w:val="center"/>
              <w:rPr>
                <w:rFonts w:ascii="Times New Roman" w:hAnsi="Times New Roman"/>
                <w:color w:val="000000"/>
                <w:szCs w:val="21"/>
              </w:rPr>
            </w:pPr>
            <w:r>
              <w:rPr>
                <w:rFonts w:ascii="Times New Roman" w:hAnsi="Times New Roman"/>
                <w:bCs/>
                <w:color w:val="000000"/>
                <w:szCs w:val="21"/>
              </w:rPr>
              <w:t>严控废物</w:t>
            </w:r>
          </w:p>
        </w:tc>
        <w:tc>
          <w:tcPr>
            <w:tcW w:w="1679" w:type="dxa"/>
            <w:tcBorders>
              <w:bottom w:val="single" w:color="auto" w:sz="8" w:space="0"/>
            </w:tcBorders>
            <w:vAlign w:val="center"/>
          </w:tcPr>
          <w:p>
            <w:pPr>
              <w:adjustRightInd w:val="0"/>
              <w:snapToGrid w:val="0"/>
              <w:jc w:val="center"/>
              <w:rPr>
                <w:rFonts w:ascii="Times New Roman" w:hAnsi="Times New Roman"/>
                <w:bCs/>
                <w:color w:val="000000"/>
                <w:szCs w:val="21"/>
              </w:rPr>
            </w:pPr>
            <w:r>
              <w:rPr>
                <w:rFonts w:ascii="Times New Roman" w:hAnsi="Times New Roman"/>
                <w:bCs/>
                <w:color w:val="000000"/>
                <w:szCs w:val="21"/>
              </w:rPr>
              <w:t>餐厨垃圾</w:t>
            </w:r>
          </w:p>
        </w:tc>
        <w:tc>
          <w:tcPr>
            <w:tcW w:w="2198" w:type="dxa"/>
            <w:tcBorders>
              <w:bottom w:val="single" w:color="auto" w:sz="8" w:space="0"/>
            </w:tcBorders>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6t/a</w:t>
            </w:r>
          </w:p>
        </w:tc>
        <w:tc>
          <w:tcPr>
            <w:tcW w:w="2375" w:type="dxa"/>
            <w:tcBorders>
              <w:bottom w:val="single" w:color="auto" w:sz="8" w:space="0"/>
            </w:tcBorders>
            <w:vAlign w:val="center"/>
          </w:tcPr>
          <w:p>
            <w:pPr>
              <w:adjustRightInd w:val="0"/>
              <w:snapToGrid w:val="0"/>
              <w:rPr>
                <w:rFonts w:ascii="Times New Roman" w:hAnsi="Times New Roman"/>
                <w:color w:val="000000"/>
                <w:szCs w:val="21"/>
              </w:rPr>
            </w:pPr>
            <w:r>
              <w:rPr>
                <w:rFonts w:ascii="Times New Roman" w:hAnsi="Times New Roman"/>
                <w:color w:val="000000"/>
                <w:szCs w:val="21"/>
              </w:rPr>
              <w:t>处理处置量：6t/a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94" w:type="dxa"/>
            <w:vMerge w:val="restart"/>
            <w:vAlign w:val="center"/>
          </w:tcPr>
          <w:p>
            <w:pPr>
              <w:spacing w:line="312" w:lineRule="auto"/>
              <w:jc w:val="center"/>
              <w:rPr>
                <w:rFonts w:ascii="Times New Roman" w:hAnsi="Times New Roman"/>
                <w:b/>
                <w:bCs/>
                <w:color w:val="000000"/>
                <w:szCs w:val="21"/>
              </w:rPr>
            </w:pPr>
            <w:r>
              <w:rPr>
                <w:rFonts w:ascii="Times New Roman" w:hAnsi="宋体"/>
                <w:b/>
                <w:bCs/>
                <w:color w:val="000000"/>
                <w:szCs w:val="21"/>
              </w:rPr>
              <w:t>噪</w:t>
            </w:r>
          </w:p>
          <w:p>
            <w:pPr>
              <w:spacing w:line="312" w:lineRule="auto"/>
              <w:jc w:val="center"/>
              <w:rPr>
                <w:rFonts w:ascii="Times New Roman" w:hAnsi="Times New Roman"/>
                <w:b/>
                <w:bCs/>
                <w:color w:val="000000"/>
                <w:szCs w:val="21"/>
              </w:rPr>
            </w:pPr>
            <w:r>
              <w:rPr>
                <w:rFonts w:ascii="Times New Roman" w:hAnsi="宋体"/>
                <w:b/>
                <w:bCs/>
                <w:color w:val="000000"/>
                <w:szCs w:val="21"/>
              </w:rPr>
              <w:t>声</w:t>
            </w:r>
          </w:p>
        </w:tc>
        <w:tc>
          <w:tcPr>
            <w:tcW w:w="420" w:type="dxa"/>
            <w:vMerge w:val="restart"/>
            <w:tcBorders>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施工期</w:t>
            </w:r>
          </w:p>
        </w:tc>
        <w:tc>
          <w:tcPr>
            <w:tcW w:w="2941" w:type="dxa"/>
            <w:gridSpan w:val="2"/>
            <w:tcBorders>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宋体"/>
                <w:color w:val="000000"/>
                <w:szCs w:val="21"/>
              </w:rPr>
              <w:t>噪声源</w:t>
            </w:r>
          </w:p>
        </w:tc>
        <w:tc>
          <w:tcPr>
            <w:tcW w:w="2198" w:type="dxa"/>
            <w:tcBorders>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宋体"/>
                <w:color w:val="000000"/>
                <w:szCs w:val="21"/>
              </w:rPr>
              <w:t>声压级</w:t>
            </w:r>
          </w:p>
        </w:tc>
        <w:tc>
          <w:tcPr>
            <w:tcW w:w="2375" w:type="dxa"/>
            <w:tcBorders>
              <w:left w:val="single" w:color="auto" w:sz="4" w:space="0"/>
              <w:bottom w:val="single" w:color="auto" w:sz="4" w:space="0"/>
            </w:tcBorders>
            <w:vAlign w:val="center"/>
          </w:tcPr>
          <w:p>
            <w:pPr>
              <w:jc w:val="center"/>
              <w:rPr>
                <w:rFonts w:ascii="Times New Roman" w:hAnsi="Times New Roman"/>
                <w:bCs/>
                <w:color w:val="000000"/>
                <w:szCs w:val="21"/>
              </w:rPr>
            </w:pPr>
            <w:r>
              <w:rPr>
                <w:rFonts w:ascii="Times New Roman" w:hAnsi="宋体"/>
                <w:bCs/>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10" w:hRule="atLeast"/>
          <w:jc w:val="center"/>
        </w:trPr>
        <w:tc>
          <w:tcPr>
            <w:tcW w:w="894" w:type="dxa"/>
            <w:vMerge w:val="continue"/>
            <w:vAlign w:val="center"/>
          </w:tcPr>
          <w:p>
            <w:pPr>
              <w:spacing w:line="312" w:lineRule="auto"/>
              <w:jc w:val="center"/>
              <w:rPr>
                <w:rFonts w:ascii="Times New Roman" w:hAnsi="Times New Roman"/>
                <w:b/>
                <w:bCs/>
                <w:color w:val="000000"/>
                <w:szCs w:val="21"/>
                <w:highlight w:val="yellow"/>
              </w:rPr>
            </w:pPr>
          </w:p>
        </w:tc>
        <w:tc>
          <w:tcPr>
            <w:tcW w:w="420" w:type="dxa"/>
            <w:vMerge w:val="continue"/>
            <w:tcBorders>
              <w:bottom w:val="single" w:color="auto" w:sz="4" w:space="0"/>
              <w:right w:val="single" w:color="auto" w:sz="4" w:space="0"/>
            </w:tcBorders>
            <w:vAlign w:val="center"/>
          </w:tcPr>
          <w:p>
            <w:pPr>
              <w:spacing w:line="312" w:lineRule="auto"/>
              <w:jc w:val="center"/>
              <w:rPr>
                <w:rFonts w:ascii="Times New Roman" w:hAnsi="Times New Roman"/>
                <w:color w:val="000000"/>
                <w:szCs w:val="21"/>
              </w:rPr>
            </w:pPr>
          </w:p>
        </w:tc>
        <w:tc>
          <w:tcPr>
            <w:tcW w:w="2941" w:type="dxa"/>
            <w:gridSpan w:val="2"/>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Times New Roman" w:hAnsi="Times New Roman"/>
                <w:color w:val="000000"/>
                <w:szCs w:val="21"/>
              </w:rPr>
            </w:pPr>
            <w:r>
              <w:rPr>
                <w:rFonts w:hint="eastAsia" w:ascii="Times New Roman" w:hAnsi="Times New Roman"/>
                <w:color w:val="000000"/>
                <w:szCs w:val="21"/>
              </w:rPr>
              <w:t>打桩机、推土机、挖掘机、搅拌机、吊车等</w:t>
            </w:r>
          </w:p>
        </w:tc>
        <w:tc>
          <w:tcPr>
            <w:tcW w:w="2198" w:type="dxa"/>
            <w:tcBorders>
              <w:left w:val="single" w:color="auto" w:sz="4" w:space="0"/>
              <w:bottom w:val="single" w:color="auto" w:sz="4" w:space="0"/>
              <w:right w:val="single" w:color="auto" w:sz="4" w:space="0"/>
            </w:tcBorders>
            <w:vAlign w:val="center"/>
          </w:tcPr>
          <w:p>
            <w:pPr>
              <w:spacing w:line="312" w:lineRule="auto"/>
              <w:jc w:val="center"/>
              <w:rPr>
                <w:rFonts w:ascii="Times New Roman" w:hAnsi="Times New Roman"/>
                <w:color w:val="000000"/>
                <w:szCs w:val="21"/>
              </w:rPr>
            </w:pPr>
            <w:r>
              <w:rPr>
                <w:rFonts w:ascii="Times New Roman" w:hAnsi="Times New Roman"/>
                <w:color w:val="000000"/>
                <w:szCs w:val="21"/>
              </w:rPr>
              <w:t>7</w:t>
            </w:r>
            <w:r>
              <w:rPr>
                <w:rFonts w:hint="eastAsia" w:ascii="Times New Roman" w:hAnsi="Times New Roman"/>
                <w:color w:val="000000"/>
                <w:szCs w:val="21"/>
              </w:rPr>
              <w:t>0</w:t>
            </w:r>
            <w:r>
              <w:rPr>
                <w:rFonts w:ascii="Times New Roman" w:hAnsi="Times New Roman"/>
                <w:color w:val="000000"/>
                <w:szCs w:val="21"/>
              </w:rPr>
              <w:t>-</w:t>
            </w:r>
            <w:r>
              <w:rPr>
                <w:rFonts w:hint="eastAsia" w:ascii="Times New Roman" w:hAnsi="Times New Roman"/>
                <w:color w:val="000000"/>
                <w:szCs w:val="21"/>
              </w:rPr>
              <w:t>100</w:t>
            </w:r>
            <w:r>
              <w:rPr>
                <w:rFonts w:ascii="Times New Roman" w:hAnsi="Times New Roman"/>
                <w:color w:val="000000"/>
                <w:szCs w:val="21"/>
              </w:rPr>
              <w:t>dB(A)</w:t>
            </w:r>
          </w:p>
        </w:tc>
        <w:tc>
          <w:tcPr>
            <w:tcW w:w="2375" w:type="dxa"/>
            <w:tcBorders>
              <w:left w:val="single" w:color="auto" w:sz="4" w:space="0"/>
              <w:bottom w:val="single" w:color="auto" w:sz="4" w:space="0"/>
            </w:tcBorders>
            <w:vAlign w:val="center"/>
          </w:tcPr>
          <w:p>
            <w:pPr>
              <w:spacing w:line="312" w:lineRule="auto"/>
              <w:jc w:val="center"/>
              <w:rPr>
                <w:rFonts w:ascii="Times New Roman" w:hAnsi="Times New Roman"/>
                <w:color w:val="000000"/>
                <w:szCs w:val="21"/>
              </w:rPr>
            </w:pPr>
            <w:r>
              <w:rPr>
                <w:rFonts w:hint="eastAsia" w:ascii="Times New Roman" w:hAnsi="Times New Roman"/>
                <w:color w:val="000000"/>
                <w:szCs w:val="21"/>
              </w:rPr>
              <w:t>《建筑施工场界环境噪声排放标准》(GB12523-2011)，昼间≤70dB(A)，夜间≤55dB(A)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10" w:hRule="atLeast"/>
          <w:jc w:val="center"/>
        </w:trPr>
        <w:tc>
          <w:tcPr>
            <w:tcW w:w="894" w:type="dxa"/>
            <w:vMerge w:val="continue"/>
            <w:vAlign w:val="center"/>
          </w:tcPr>
          <w:p>
            <w:pPr>
              <w:spacing w:line="312" w:lineRule="auto"/>
              <w:jc w:val="center"/>
              <w:rPr>
                <w:rFonts w:ascii="Times New Roman" w:hAnsi="Times New Roman"/>
                <w:b/>
                <w:bCs/>
                <w:color w:val="000000"/>
                <w:szCs w:val="21"/>
                <w:highlight w:val="yellow"/>
              </w:rPr>
            </w:pPr>
          </w:p>
        </w:tc>
        <w:tc>
          <w:tcPr>
            <w:tcW w:w="420" w:type="dxa"/>
            <w:tcBorders>
              <w:top w:val="single" w:color="auto" w:sz="4" w:space="0"/>
              <w:bottom w:val="single" w:color="auto" w:sz="4" w:space="0"/>
              <w:right w:val="single" w:color="auto" w:sz="4" w:space="0"/>
            </w:tcBorders>
            <w:vAlign w:val="center"/>
          </w:tcPr>
          <w:p>
            <w:pPr>
              <w:spacing w:line="312" w:lineRule="auto"/>
              <w:jc w:val="center"/>
              <w:rPr>
                <w:rFonts w:ascii="Times New Roman" w:hAnsi="Times New Roman"/>
                <w:color w:val="000000"/>
                <w:szCs w:val="21"/>
              </w:rPr>
            </w:pPr>
            <w:r>
              <w:rPr>
                <w:rFonts w:hint="eastAsia" w:ascii="Times New Roman" w:hAnsi="Times New Roman"/>
                <w:color w:val="000000"/>
                <w:szCs w:val="21"/>
              </w:rPr>
              <w:t>运营期</w:t>
            </w:r>
          </w:p>
        </w:tc>
        <w:tc>
          <w:tcPr>
            <w:tcW w:w="2941" w:type="dxa"/>
            <w:gridSpan w:val="2"/>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Times New Roman" w:hAnsi="Times New Roman"/>
                <w:color w:val="000000"/>
                <w:szCs w:val="21"/>
              </w:rPr>
            </w:pPr>
            <w:r>
              <w:rPr>
                <w:rFonts w:ascii="Times New Roman" w:hAnsi="Times New Roman"/>
                <w:color w:val="000000"/>
                <w:szCs w:val="21"/>
              </w:rPr>
              <w:t>混凝土生产线、输送机、搅拌运输车</w:t>
            </w:r>
          </w:p>
        </w:tc>
        <w:tc>
          <w:tcPr>
            <w:tcW w:w="2198" w:type="dxa"/>
            <w:tcBorders>
              <w:left w:val="single" w:color="auto" w:sz="4" w:space="0"/>
              <w:bottom w:val="single" w:color="auto" w:sz="4" w:space="0"/>
              <w:right w:val="single" w:color="auto" w:sz="4" w:space="0"/>
            </w:tcBorders>
            <w:vAlign w:val="center"/>
          </w:tcPr>
          <w:p>
            <w:pPr>
              <w:spacing w:line="312" w:lineRule="auto"/>
              <w:jc w:val="center"/>
              <w:rPr>
                <w:rFonts w:ascii="Times New Roman" w:hAnsi="Times New Roman"/>
                <w:color w:val="000000"/>
                <w:szCs w:val="21"/>
              </w:rPr>
            </w:pPr>
            <w:r>
              <w:rPr>
                <w:rFonts w:ascii="Times New Roman" w:hAnsi="Times New Roman"/>
                <w:color w:val="000000"/>
                <w:szCs w:val="21"/>
              </w:rPr>
              <w:t>75-85dB(A)</w:t>
            </w:r>
          </w:p>
        </w:tc>
        <w:tc>
          <w:tcPr>
            <w:tcW w:w="2375" w:type="dxa"/>
            <w:tcBorders>
              <w:left w:val="single" w:color="auto" w:sz="4" w:space="0"/>
              <w:bottom w:val="single" w:color="auto" w:sz="4" w:space="0"/>
            </w:tcBorders>
            <w:vAlign w:val="center"/>
          </w:tcPr>
          <w:p>
            <w:pPr>
              <w:spacing w:line="312" w:lineRule="auto"/>
              <w:jc w:val="center"/>
              <w:rPr>
                <w:rFonts w:ascii="Times New Roman" w:hAnsi="Times New Roman"/>
                <w:color w:val="000000"/>
                <w:szCs w:val="21"/>
              </w:rPr>
            </w:pPr>
            <w:r>
              <w:rPr>
                <w:rFonts w:hint="eastAsia" w:ascii="Times New Roman" w:hAnsi="Times New Roman"/>
                <w:color w:val="000000"/>
                <w:szCs w:val="21"/>
              </w:rPr>
              <w:t>《工业企业厂界环境噪声排放标准》(GB12348-2008)2类标准：昼间≤60dB(A)，夜间≤50dB(A)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894" w:type="dxa"/>
            <w:tcBorders>
              <w:top w:val="single" w:color="auto" w:sz="4" w:space="0"/>
              <w:bottom w:val="single" w:color="auto" w:sz="4" w:space="0"/>
            </w:tcBorders>
            <w:vAlign w:val="center"/>
          </w:tcPr>
          <w:p>
            <w:pPr>
              <w:spacing w:line="312" w:lineRule="auto"/>
              <w:jc w:val="center"/>
              <w:rPr>
                <w:rFonts w:ascii="Times New Roman" w:hAnsi="Times New Roman"/>
                <w:b/>
                <w:bCs/>
                <w:color w:val="000000"/>
                <w:szCs w:val="21"/>
              </w:rPr>
            </w:pPr>
            <w:r>
              <w:rPr>
                <w:rFonts w:ascii="Times New Roman" w:hAnsi="宋体"/>
                <w:b/>
                <w:bCs/>
                <w:color w:val="000000"/>
                <w:szCs w:val="21"/>
              </w:rPr>
              <w:t>其</w:t>
            </w:r>
          </w:p>
          <w:p>
            <w:pPr>
              <w:spacing w:line="312" w:lineRule="auto"/>
              <w:jc w:val="center"/>
              <w:rPr>
                <w:rFonts w:ascii="Times New Roman" w:hAnsi="Times New Roman"/>
                <w:b/>
                <w:bCs/>
                <w:color w:val="000000"/>
                <w:szCs w:val="21"/>
                <w:highlight w:val="yellow"/>
              </w:rPr>
            </w:pPr>
            <w:r>
              <w:rPr>
                <w:rFonts w:ascii="Times New Roman" w:hAnsi="宋体"/>
                <w:b/>
                <w:bCs/>
                <w:color w:val="000000"/>
                <w:szCs w:val="21"/>
              </w:rPr>
              <w:t>他</w:t>
            </w:r>
          </w:p>
        </w:tc>
        <w:tc>
          <w:tcPr>
            <w:tcW w:w="7934" w:type="dxa"/>
            <w:gridSpan w:val="5"/>
            <w:tcBorders>
              <w:top w:val="single" w:color="auto" w:sz="4" w:space="0"/>
              <w:bottom w:val="single" w:color="auto" w:sz="4" w:space="0"/>
            </w:tcBorders>
            <w:vAlign w:val="center"/>
          </w:tcPr>
          <w:p>
            <w:pPr>
              <w:spacing w:line="312" w:lineRule="auto"/>
              <w:rPr>
                <w:rFonts w:ascii="Times New Roman" w:hAnsi="Times New Roman"/>
                <w:color w:val="000000"/>
                <w:szCs w:val="21"/>
                <w:highlight w:val="yellow"/>
              </w:rPr>
            </w:pPr>
            <w:r>
              <w:rPr>
                <w:rFonts w:hint="eastAsia" w:ascii="Times New Roman" w:hAnsi="Times New Roman"/>
                <w:color w:val="000000"/>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jc w:val="center"/>
        </w:trPr>
        <w:tc>
          <w:tcPr>
            <w:tcW w:w="8828" w:type="dxa"/>
            <w:gridSpan w:val="6"/>
            <w:tcBorders>
              <w:top w:val="single" w:color="auto" w:sz="4" w:space="0"/>
            </w:tcBorders>
            <w:vAlign w:val="center"/>
          </w:tcPr>
          <w:p>
            <w:pPr>
              <w:spacing w:line="360" w:lineRule="auto"/>
              <w:rPr>
                <w:rFonts w:ascii="Times New Roman" w:hAnsi="Times New Roman"/>
                <w:color w:val="000000"/>
                <w:sz w:val="24"/>
                <w:szCs w:val="24"/>
              </w:rPr>
            </w:pPr>
            <w:r>
              <w:rPr>
                <w:rFonts w:ascii="Times New Roman" w:hAnsi="宋体"/>
                <w:b/>
                <w:color w:val="000000"/>
                <w:sz w:val="24"/>
                <w:szCs w:val="24"/>
              </w:rPr>
              <w:t>主要生态影响：</w:t>
            </w:r>
          </w:p>
          <w:p>
            <w:pPr>
              <w:adjustRightInd w:val="0"/>
              <w:spacing w:line="360" w:lineRule="auto"/>
              <w:ind w:firstLine="478" w:firstLineChars="199"/>
              <w:rPr>
                <w:sz w:val="24"/>
                <w:szCs w:val="24"/>
              </w:rPr>
            </w:pPr>
            <w:r>
              <w:rPr>
                <w:sz w:val="24"/>
                <w:szCs w:val="24"/>
              </w:rPr>
              <w:t>项目的生态影响主要为场地施工剥离地表植被和</w:t>
            </w:r>
            <w:r>
              <w:rPr>
                <w:rFonts w:hint="eastAsia"/>
                <w:sz w:val="24"/>
                <w:szCs w:val="24"/>
              </w:rPr>
              <w:t>场</w:t>
            </w:r>
            <w:r>
              <w:rPr>
                <w:sz w:val="24"/>
                <w:szCs w:val="24"/>
              </w:rPr>
              <w:t>区建设施工等造成的水土流失影响，但由于受影响土地面积小，而且破坏的植被类型均为区内常见类型，也无国家重点保护的珍稀濒危植物和野生植物</w:t>
            </w:r>
            <w:r>
              <w:rPr>
                <w:rFonts w:hint="eastAsia"/>
                <w:sz w:val="24"/>
                <w:szCs w:val="24"/>
              </w:rPr>
              <w:t>。</w:t>
            </w:r>
          </w:p>
          <w:p>
            <w:pPr>
              <w:spacing w:line="360" w:lineRule="auto"/>
              <w:ind w:firstLine="480" w:firstLineChars="200"/>
              <w:rPr>
                <w:sz w:val="24"/>
                <w:szCs w:val="24"/>
              </w:rPr>
            </w:pPr>
            <w:r>
              <w:rPr>
                <w:sz w:val="24"/>
                <w:szCs w:val="24"/>
              </w:rPr>
              <w:t>因此，项目的建设施工对植物区系、植被类型的影响不大。</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rPr>
                <w:rFonts w:ascii="Times New Roman" w:hAnsi="Times New Roman"/>
                <w:color w:val="000000"/>
                <w:szCs w:val="21"/>
              </w:rPr>
            </w:pPr>
          </w:p>
          <w:p>
            <w:pPr>
              <w:spacing w:line="360" w:lineRule="auto"/>
              <w:rPr>
                <w:rFonts w:ascii="Times New Roman" w:hAnsi="Times New Roman"/>
                <w:color w:val="000000"/>
                <w:szCs w:val="21"/>
              </w:rPr>
            </w:pPr>
          </w:p>
          <w:p>
            <w:pPr>
              <w:spacing w:line="360" w:lineRule="auto"/>
              <w:rPr>
                <w:rFonts w:ascii="Times New Roman" w:hAnsi="Times New Roman"/>
                <w:color w:val="000000"/>
                <w:szCs w:val="21"/>
              </w:rPr>
            </w:pPr>
          </w:p>
        </w:tc>
      </w:tr>
    </w:tbl>
    <w:p>
      <w:pPr>
        <w:pStyle w:val="2"/>
        <w:jc w:val="both"/>
        <w:rPr>
          <w:rFonts w:ascii="Times New Roman" w:hAnsi="Times New Roman"/>
          <w:b/>
          <w:color w:val="000000" w:themeColor="text1"/>
          <w:sz w:val="28"/>
        </w:rPr>
      </w:pPr>
      <w:r>
        <w:rPr>
          <w:rFonts w:ascii="Times New Roman" w:hAnsi="宋体"/>
          <w:b/>
          <w:color w:val="000000" w:themeColor="text1"/>
          <w:sz w:val="28"/>
        </w:rPr>
        <w:t>环境影响分析</w:t>
      </w:r>
      <w:bookmarkEnd w:id="14"/>
      <w:bookmarkEnd w:id="15"/>
    </w:p>
    <w:tbl>
      <w:tblPr>
        <w:tblStyle w:val="27"/>
        <w:tblW w:w="8726"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2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282" w:hRule="atLeast"/>
          <w:jc w:val="center"/>
        </w:trPr>
        <w:tc>
          <w:tcPr>
            <w:tcW w:w="8726" w:type="dxa"/>
          </w:tcPr>
          <w:p>
            <w:pPr>
              <w:spacing w:line="460" w:lineRule="exact"/>
              <w:rPr>
                <w:rFonts w:ascii="Times New Roman" w:hAnsi="Times New Roman" w:eastAsia="黑体"/>
                <w:sz w:val="24"/>
                <w:szCs w:val="24"/>
              </w:rPr>
            </w:pPr>
            <w:r>
              <w:rPr>
                <w:rFonts w:hint="eastAsia" w:ascii="Times New Roman" w:hAnsi="Times New Roman" w:eastAsia="黑体"/>
                <w:sz w:val="24"/>
                <w:szCs w:val="24"/>
              </w:rPr>
              <w:t>一、施工期</w:t>
            </w:r>
            <w:r>
              <w:rPr>
                <w:rFonts w:ascii="Times New Roman" w:hAnsi="Times New Roman" w:eastAsia="黑体"/>
                <w:sz w:val="24"/>
                <w:szCs w:val="24"/>
              </w:rPr>
              <w:t>环境影响分析：</w:t>
            </w:r>
          </w:p>
          <w:p>
            <w:pPr>
              <w:spacing w:line="540" w:lineRule="exact"/>
              <w:ind w:firstLine="470" w:firstLineChars="196"/>
              <w:rPr>
                <w:rFonts w:ascii="Times New Roman" w:hAnsi="宋体"/>
                <w:sz w:val="24"/>
              </w:rPr>
            </w:pPr>
            <w:r>
              <w:rPr>
                <w:rFonts w:hint="eastAsia" w:ascii="Times New Roman" w:hAnsi="宋体"/>
                <w:sz w:val="24"/>
              </w:rPr>
              <w:t>施工期的环境影响属短期的、可恢复的和局部的环境影响，主要体现在施工期的废气（扬尘）、废水、噪声和固体废物等方面。</w:t>
            </w:r>
          </w:p>
          <w:p>
            <w:pPr>
              <w:spacing w:line="540" w:lineRule="exact"/>
              <w:ind w:firstLine="472" w:firstLineChars="196"/>
              <w:rPr>
                <w:rFonts w:ascii="Times New Roman" w:hAnsi="宋体"/>
                <w:b/>
                <w:sz w:val="24"/>
              </w:rPr>
            </w:pPr>
            <w:r>
              <w:rPr>
                <w:rFonts w:hint="eastAsia" w:ascii="Times New Roman" w:hAnsi="宋体"/>
                <w:b/>
                <w:sz w:val="24"/>
              </w:rPr>
              <w:t>1、大气环境影响分析</w:t>
            </w:r>
          </w:p>
          <w:p>
            <w:pPr>
              <w:spacing w:line="540" w:lineRule="exact"/>
              <w:ind w:firstLine="470" w:firstLineChars="196"/>
              <w:rPr>
                <w:rFonts w:ascii="Times New Roman" w:hAnsi="宋体"/>
                <w:sz w:val="24"/>
              </w:rPr>
            </w:pPr>
            <w:r>
              <w:rPr>
                <w:rFonts w:hint="eastAsia" w:ascii="Times New Roman" w:hAnsi="宋体"/>
                <w:sz w:val="24"/>
              </w:rPr>
              <w:t>本项目施工期废气来源主要是施工机械的燃油废气、工程开挖与车辆运输的扬尘。</w:t>
            </w:r>
          </w:p>
          <w:p>
            <w:pPr>
              <w:pStyle w:val="9"/>
              <w:spacing w:line="348" w:lineRule="auto"/>
              <w:ind w:firstLine="480"/>
              <w:rPr>
                <w:rFonts w:eastAsia="宋体"/>
                <w:color w:val="FF0000"/>
                <w:sz w:val="24"/>
                <w:szCs w:val="24"/>
              </w:rPr>
            </w:pPr>
            <w:r>
              <w:rPr>
                <w:rFonts w:hint="eastAsia" w:hAnsi="宋体" w:eastAsia="宋体"/>
                <w:color w:val="FF0000"/>
                <w:sz w:val="24"/>
                <w:szCs w:val="24"/>
              </w:rPr>
              <w:t>（1）扬尘：拟建工程施工期环境空气的主要污染源为扬尘(TSP)，包括土方挖掘、现场堆放、土方回填期间造成的扬尘；人来车往造成的道路扬尘；运土方车辆及施工垃圾堆放和清运过程造成的扬尘。这些扬尘尽管是短期行为，但会对附近区域带来不利的影响，所以在施工期间，应采取积极的措施来尽量减少扬尘的产生，</w:t>
            </w:r>
            <w:r>
              <w:rPr>
                <w:rFonts w:hAnsi="宋体" w:eastAsia="宋体"/>
                <w:color w:val="FF0000"/>
                <w:sz w:val="24"/>
                <w:szCs w:val="24"/>
              </w:rPr>
              <w:t>防治措施如下：</w:t>
            </w:r>
          </w:p>
          <w:p>
            <w:pPr>
              <w:spacing w:line="348" w:lineRule="auto"/>
              <w:ind w:firstLine="480" w:firstLineChars="200"/>
              <w:rPr>
                <w:rFonts w:ascii="Times New Roman" w:hAnsi="Times New Roman"/>
                <w:color w:val="FF0000"/>
                <w:sz w:val="24"/>
              </w:rPr>
            </w:pPr>
            <w:r>
              <w:rPr>
                <w:rFonts w:ascii="宋体" w:hAnsi="宋体"/>
                <w:color w:val="FF0000"/>
                <w:sz w:val="24"/>
              </w:rPr>
              <w:t>①</w:t>
            </w:r>
            <w:r>
              <w:rPr>
                <w:rFonts w:ascii="Times New Roman" w:hAnsi="宋体"/>
                <w:color w:val="FF0000"/>
                <w:sz w:val="24"/>
              </w:rPr>
              <w:t>建设场地的四周应设有围护装备，房屋建筑要实行封闭式施工以防止扬尘的扩散。</w:t>
            </w:r>
          </w:p>
          <w:p>
            <w:pPr>
              <w:snapToGrid w:val="0"/>
              <w:spacing w:line="353" w:lineRule="auto"/>
              <w:ind w:firstLine="480" w:firstLineChars="200"/>
              <w:rPr>
                <w:rFonts w:ascii="Times New Roman" w:hAnsi="Times New Roman"/>
                <w:color w:val="FF0000"/>
                <w:sz w:val="24"/>
              </w:rPr>
            </w:pPr>
            <w:r>
              <w:rPr>
                <w:rFonts w:ascii="宋体" w:hAnsi="宋体"/>
                <w:color w:val="FF0000"/>
                <w:sz w:val="24"/>
              </w:rPr>
              <w:t>②</w:t>
            </w:r>
            <w:r>
              <w:rPr>
                <w:rFonts w:ascii="Times New Roman" w:hAnsi="宋体"/>
                <w:color w:val="FF0000"/>
                <w:sz w:val="24"/>
              </w:rPr>
              <w:t>施工作业区应配备专人负责，作到科学管理、文明施工；在基础施工期间，应尽可能采取措施提高工程进度，并将土石方及时外运到指定地点，缩短堆放的危害周期。</w:t>
            </w:r>
          </w:p>
          <w:p>
            <w:pPr>
              <w:snapToGrid w:val="0"/>
              <w:spacing w:line="353" w:lineRule="auto"/>
              <w:ind w:firstLine="480" w:firstLineChars="200"/>
              <w:rPr>
                <w:rFonts w:ascii="Times New Roman" w:hAnsi="Times New Roman"/>
                <w:color w:val="FF0000"/>
                <w:sz w:val="24"/>
              </w:rPr>
            </w:pPr>
            <w:r>
              <w:rPr>
                <w:rFonts w:ascii="宋体" w:hAnsi="宋体"/>
                <w:color w:val="FF0000"/>
                <w:sz w:val="24"/>
              </w:rPr>
              <w:t>③</w:t>
            </w:r>
            <w:r>
              <w:rPr>
                <w:rFonts w:ascii="Times New Roman" w:hAnsi="宋体"/>
                <w:color w:val="FF0000"/>
                <w:sz w:val="24"/>
              </w:rPr>
              <w:t>对作业面和临时土堆应适当地洒水，使其保持一定的湿度，减小起尘量，施工便道应进行夯实硬化处理，减少起尘量。</w:t>
            </w:r>
          </w:p>
          <w:p>
            <w:pPr>
              <w:snapToGrid w:val="0"/>
              <w:spacing w:line="353" w:lineRule="auto"/>
              <w:ind w:firstLine="480" w:firstLineChars="200"/>
              <w:rPr>
                <w:rFonts w:ascii="Times New Roman" w:hAnsi="Times New Roman"/>
                <w:color w:val="FF0000"/>
                <w:sz w:val="24"/>
              </w:rPr>
            </w:pPr>
            <w:r>
              <w:rPr>
                <w:rFonts w:ascii="宋体" w:hAnsi="宋体"/>
                <w:color w:val="FF0000"/>
                <w:sz w:val="24"/>
              </w:rPr>
              <w:t>④</w:t>
            </w:r>
            <w:r>
              <w:rPr>
                <w:rFonts w:ascii="Times New Roman" w:hAnsi="宋体"/>
                <w:color w:val="FF0000"/>
                <w:sz w:val="24"/>
              </w:rPr>
              <w:t>场地内土堆、料堆要加遮盖或喷洒覆盖剂，防止扬尘的扩散。建议多用商品（湿）水泥和水泥预制品，尽量少用干水泥。</w:t>
            </w:r>
          </w:p>
          <w:p>
            <w:pPr>
              <w:snapToGrid w:val="0"/>
              <w:spacing w:line="353" w:lineRule="auto"/>
              <w:ind w:firstLine="480" w:firstLineChars="200"/>
              <w:rPr>
                <w:rFonts w:ascii="Times New Roman" w:hAnsi="Times New Roman"/>
                <w:color w:val="FF0000"/>
                <w:sz w:val="24"/>
              </w:rPr>
            </w:pPr>
            <w:r>
              <w:rPr>
                <w:rFonts w:ascii="宋体" w:hAnsi="宋体"/>
                <w:color w:val="FF0000"/>
                <w:sz w:val="24"/>
              </w:rPr>
              <w:t>⑤</w:t>
            </w:r>
            <w:r>
              <w:rPr>
                <w:rFonts w:ascii="Times New Roman" w:hAnsi="宋体"/>
                <w:color w:val="FF0000"/>
                <w:sz w:val="24"/>
              </w:rPr>
              <w:t>运土方和水泥、砂石等时不宜装载过满，同时要采取相应的遮盖、封闭措施（如用苫布）。对不慎洒落的沙土和建筑材料，应对地面进行清理。</w:t>
            </w:r>
          </w:p>
          <w:p>
            <w:pPr>
              <w:pStyle w:val="125"/>
              <w:keepNext/>
              <w:spacing w:line="353" w:lineRule="auto"/>
              <w:ind w:firstLine="480" w:firstLineChars="200"/>
              <w:rPr>
                <w:rFonts w:ascii="Times New Roman" w:hAnsi="宋体"/>
                <w:color w:val="FF0000"/>
                <w:sz w:val="24"/>
                <w:szCs w:val="24"/>
              </w:rPr>
            </w:pPr>
            <w:r>
              <w:rPr>
                <w:rFonts w:ascii="宋体" w:hAnsi="宋体"/>
                <w:color w:val="FF0000"/>
                <w:sz w:val="24"/>
              </w:rPr>
              <w:t>⑥</w:t>
            </w:r>
            <w:r>
              <w:rPr>
                <w:rFonts w:ascii="Times New Roman" w:hAnsi="宋体"/>
                <w:color w:val="FF0000"/>
                <w:sz w:val="24"/>
              </w:rPr>
              <w:t>合理安排施工运输工作，对于施工作业中的大型构件和大量物资及弃土的运输，应尽量避开交通高峰期，以缓解交通压力。同时，施工单位应与交通管理部门应协调一致，采取响应的措施，做好施工现场的交通疏导，避免压车和交通阻塞，最大</w:t>
            </w:r>
            <w:r>
              <w:rPr>
                <w:rFonts w:ascii="Times New Roman" w:hAnsi="宋体"/>
                <w:color w:val="FF0000"/>
                <w:sz w:val="24"/>
                <w:szCs w:val="24"/>
              </w:rPr>
              <w:t>限度的控制汽车尾气的排放。</w:t>
            </w:r>
          </w:p>
          <w:p>
            <w:pPr>
              <w:pStyle w:val="125"/>
              <w:keepNext/>
              <w:spacing w:line="353" w:lineRule="auto"/>
              <w:ind w:firstLine="480" w:firstLineChars="200"/>
              <w:rPr>
                <w:rFonts w:ascii="Times New Roman" w:hAnsi="宋体"/>
                <w:color w:val="FF0000"/>
                <w:sz w:val="24"/>
              </w:rPr>
            </w:pPr>
            <w:r>
              <w:rPr>
                <w:rFonts w:hint="eastAsia" w:ascii="Times New Roman" w:hAnsi="宋体"/>
                <w:color w:val="FF0000"/>
                <w:sz w:val="24"/>
              </w:rPr>
              <w:t>（2）燃油废气：</w:t>
            </w:r>
            <w:r>
              <w:rPr>
                <w:rFonts w:ascii="Times New Roman" w:hAnsi="宋体"/>
                <w:color w:val="FF0000"/>
                <w:sz w:val="24"/>
              </w:rPr>
              <w:t>施工机械应首先选用先进环保的，施工车辆应达到相关的汽车废气排放校准，燃油选用含硫量低的0#优质轻柴油，并加装主动再生式柴油颗粒捕集器。</w:t>
            </w:r>
          </w:p>
          <w:p>
            <w:pPr>
              <w:pStyle w:val="79"/>
              <w:adjustRightInd w:val="0"/>
              <w:snapToGrid w:val="0"/>
              <w:rPr>
                <w:color w:val="FF0000"/>
              </w:rPr>
            </w:pPr>
            <w:r>
              <w:rPr>
                <w:rFonts w:hint="eastAsia"/>
                <w:color w:val="FF0000"/>
              </w:rPr>
              <w:t>经采取上述措施后，项目施工期产生的</w:t>
            </w:r>
            <w:r>
              <w:rPr>
                <w:rFonts w:hint="eastAsia" w:hAnsi="宋体"/>
                <w:color w:val="FF0000"/>
              </w:rPr>
              <w:t>燃油废气、</w:t>
            </w:r>
            <w:r>
              <w:rPr>
                <w:rFonts w:hint="eastAsia"/>
                <w:color w:val="FF0000"/>
              </w:rPr>
              <w:t>扬尘对周边环境影响较小。</w:t>
            </w:r>
          </w:p>
          <w:p>
            <w:pPr>
              <w:spacing w:line="540" w:lineRule="exact"/>
              <w:ind w:firstLine="472" w:firstLineChars="196"/>
              <w:rPr>
                <w:rFonts w:ascii="Times New Roman" w:hAnsi="宋体"/>
                <w:b/>
                <w:sz w:val="24"/>
              </w:rPr>
            </w:pPr>
            <w:r>
              <w:rPr>
                <w:rFonts w:hint="eastAsia" w:ascii="Times New Roman" w:hAnsi="宋体"/>
                <w:b/>
                <w:sz w:val="24"/>
              </w:rPr>
              <w:t>2、水环境影响分析</w:t>
            </w:r>
          </w:p>
          <w:p>
            <w:pPr>
              <w:spacing w:line="540" w:lineRule="exact"/>
              <w:ind w:firstLine="470" w:firstLineChars="196"/>
              <w:rPr>
                <w:rFonts w:ascii="Times New Roman" w:hAnsi="宋体"/>
                <w:sz w:val="24"/>
              </w:rPr>
            </w:pPr>
            <w:r>
              <w:rPr>
                <w:rFonts w:ascii="Times New Roman" w:hAnsi="宋体"/>
                <w:sz w:val="24"/>
              </w:rPr>
              <w:t>项目施工期间产生的污水主要包括施工人员的生活污水、建筑施工</w:t>
            </w:r>
            <w:r>
              <w:rPr>
                <w:rFonts w:hint="eastAsia" w:ascii="Times New Roman" w:hAnsi="宋体"/>
                <w:sz w:val="24"/>
              </w:rPr>
              <w:t>废</w:t>
            </w:r>
            <w:r>
              <w:rPr>
                <w:rFonts w:ascii="Times New Roman" w:hAnsi="宋体"/>
                <w:sz w:val="24"/>
              </w:rPr>
              <w:t>水。</w:t>
            </w:r>
          </w:p>
          <w:p>
            <w:pPr>
              <w:spacing w:line="540" w:lineRule="exact"/>
              <w:ind w:firstLine="470" w:firstLineChars="196"/>
              <w:rPr>
                <w:rFonts w:ascii="Times New Roman" w:hAnsi="宋体"/>
                <w:sz w:val="24"/>
              </w:rPr>
            </w:pPr>
            <w:r>
              <w:rPr>
                <w:rFonts w:ascii="Times New Roman" w:hAnsi="宋体"/>
                <w:sz w:val="24"/>
              </w:rPr>
              <w:t>施工高峰期施工人员及工地管理人员约</w:t>
            </w:r>
            <w:r>
              <w:rPr>
                <w:rFonts w:hint="eastAsia" w:ascii="Times New Roman" w:hAnsi="宋体"/>
                <w:sz w:val="24"/>
              </w:rPr>
              <w:t>15</w:t>
            </w:r>
            <w:r>
              <w:rPr>
                <w:rFonts w:ascii="Times New Roman" w:hAnsi="宋体"/>
                <w:sz w:val="24"/>
              </w:rPr>
              <w:t>人</w:t>
            </w:r>
            <w:r>
              <w:rPr>
                <w:rFonts w:hint="eastAsia" w:ascii="Times New Roman" w:hAnsi="宋体"/>
                <w:sz w:val="24"/>
              </w:rPr>
              <w:t>，均为附近居民，不在项目地吃住，基本无生活废水产生。少量的粪污水由项目经简易旱厕收集后用于周围林地施肥。</w:t>
            </w:r>
          </w:p>
          <w:p>
            <w:pPr>
              <w:spacing w:line="540" w:lineRule="exact"/>
              <w:ind w:firstLine="470" w:firstLineChars="196"/>
              <w:rPr>
                <w:rFonts w:ascii="Times New Roman" w:hAnsi="宋体"/>
                <w:sz w:val="24"/>
              </w:rPr>
            </w:pPr>
            <w:r>
              <w:rPr>
                <w:rFonts w:ascii="Times New Roman" w:hAnsi="宋体"/>
                <w:sz w:val="24"/>
              </w:rPr>
              <w:t>施工</w:t>
            </w:r>
            <w:r>
              <w:rPr>
                <w:rFonts w:hint="eastAsia" w:ascii="Times New Roman" w:hAnsi="宋体"/>
                <w:sz w:val="24"/>
              </w:rPr>
              <w:t>废</w:t>
            </w:r>
            <w:r>
              <w:rPr>
                <w:rFonts w:ascii="Times New Roman" w:hAnsi="宋体"/>
                <w:sz w:val="24"/>
              </w:rPr>
              <w:t>水</w:t>
            </w:r>
            <w:r>
              <w:rPr>
                <w:rFonts w:hint="eastAsia" w:ascii="Times New Roman" w:hAnsi="宋体"/>
                <w:sz w:val="24"/>
              </w:rPr>
              <w:t>主要</w:t>
            </w:r>
            <w:r>
              <w:rPr>
                <w:rFonts w:ascii="Times New Roman" w:hAnsi="宋体"/>
                <w:sz w:val="24"/>
              </w:rPr>
              <w:t>包括施工机械洗涤用水、施工现场清洗、建筑清洗、冲洗等，</w:t>
            </w:r>
            <w:r>
              <w:rPr>
                <w:rFonts w:hint="eastAsia" w:ascii="Times New Roman" w:hAnsi="宋体"/>
                <w:sz w:val="24"/>
              </w:rPr>
              <w:t>其</w:t>
            </w:r>
            <w:r>
              <w:rPr>
                <w:rFonts w:ascii="Times New Roman" w:hAnsi="宋体"/>
                <w:sz w:val="24"/>
              </w:rPr>
              <w:t>污染物主要为悬浮物和石油类</w:t>
            </w:r>
            <w:r>
              <w:rPr>
                <w:rFonts w:hint="eastAsia" w:ascii="Times New Roman" w:hAnsi="宋体"/>
                <w:sz w:val="24"/>
              </w:rPr>
              <w:t>，</w:t>
            </w:r>
            <w:r>
              <w:rPr>
                <w:rFonts w:ascii="Times New Roman" w:hAnsi="宋体"/>
                <w:sz w:val="24"/>
              </w:rPr>
              <w:t>施工现场应建造临时沉淀池和隔油设施等临时性水处理构筑物，对施工废水进行相应的沉淀和隔油处理后，</w:t>
            </w:r>
            <w:r>
              <w:rPr>
                <w:rFonts w:hint="eastAsia" w:ascii="Times New Roman" w:hAnsi="宋体"/>
                <w:sz w:val="24"/>
              </w:rPr>
              <w:t>上清液回用，不外排，沉渣收集后外运处置。本项目施工期废水对地表水体的影响较小。</w:t>
            </w:r>
          </w:p>
          <w:p>
            <w:pPr>
              <w:spacing w:line="540" w:lineRule="exact"/>
              <w:ind w:firstLine="472" w:firstLineChars="196"/>
              <w:rPr>
                <w:rFonts w:ascii="Times New Roman" w:hAnsi="宋体"/>
                <w:b/>
                <w:sz w:val="24"/>
              </w:rPr>
            </w:pPr>
            <w:r>
              <w:rPr>
                <w:rFonts w:hint="eastAsia" w:ascii="Times New Roman" w:hAnsi="宋体"/>
                <w:b/>
                <w:sz w:val="24"/>
              </w:rPr>
              <w:t>3、声环境影响分析</w:t>
            </w:r>
          </w:p>
          <w:p>
            <w:pPr>
              <w:spacing w:line="540" w:lineRule="exact"/>
              <w:ind w:firstLine="470" w:firstLineChars="196"/>
              <w:rPr>
                <w:rFonts w:ascii="Times New Roman" w:hAnsi="宋体"/>
                <w:sz w:val="24"/>
              </w:rPr>
            </w:pPr>
            <w:r>
              <w:rPr>
                <w:rFonts w:hint="eastAsia" w:ascii="Times New Roman" w:hAnsi="宋体"/>
                <w:sz w:val="24"/>
              </w:rPr>
              <w:t>施工期的噪声主要可分为机械噪声、施工作业噪声和施工车辆噪声。机械噪声主要由施工机械所造成，如挖土机械、打桩机械、混凝土搅拌机等，一般为点声源；施工作业噪声主要指一些零星的敲打声、装卸车辆的撞击声、吆喝声等，多为瞬间噪声；施工车辆的噪声属于交通噪声。在这些施工噪声中对声环境影响最大的是机械噪声。施工设备的噪声在昼间影响范围较小，而在夜间影响范围较大。为了将项目建设的噪声对周围环境的影响降低到最低，建议建设单位采取如下措施：</w:t>
            </w:r>
          </w:p>
          <w:p>
            <w:pPr>
              <w:spacing w:line="540" w:lineRule="exact"/>
              <w:ind w:firstLine="470" w:firstLineChars="196"/>
              <w:rPr>
                <w:rFonts w:ascii="Times New Roman" w:hAnsi="宋体"/>
                <w:sz w:val="24"/>
              </w:rPr>
            </w:pPr>
            <w:r>
              <w:rPr>
                <w:rFonts w:hint="eastAsia" w:ascii="Times New Roman" w:hAnsi="宋体"/>
                <w:sz w:val="24"/>
              </w:rPr>
              <w:t>（1）合理安排施工时间，尽量缩短施工期，尽量避免多台噪声设备同一地点同时使用；</w:t>
            </w:r>
          </w:p>
          <w:p>
            <w:pPr>
              <w:spacing w:line="540" w:lineRule="exact"/>
              <w:ind w:firstLine="470" w:firstLineChars="196"/>
              <w:rPr>
                <w:rFonts w:ascii="Times New Roman" w:hAnsi="宋体"/>
                <w:sz w:val="24"/>
              </w:rPr>
            </w:pPr>
            <w:r>
              <w:rPr>
                <w:rFonts w:hint="eastAsia" w:ascii="Times New Roman" w:hAnsi="宋体"/>
                <w:sz w:val="24"/>
              </w:rPr>
              <w:t>（2）采用先进、低噪声设备，并加强管理和维护；</w:t>
            </w:r>
          </w:p>
          <w:p>
            <w:pPr>
              <w:spacing w:line="540" w:lineRule="exact"/>
              <w:ind w:firstLine="470" w:firstLineChars="196"/>
              <w:rPr>
                <w:rFonts w:ascii="Times New Roman" w:hAnsi="宋体"/>
                <w:sz w:val="24"/>
              </w:rPr>
            </w:pPr>
            <w:r>
              <w:rPr>
                <w:rFonts w:hint="eastAsia" w:ascii="Times New Roman" w:hAnsi="宋体"/>
                <w:sz w:val="24"/>
              </w:rPr>
              <w:t>（3）混凝土搅拌作业采用外购，未采用高噪声搅拌设施现场进行混凝土搅拌作业；</w:t>
            </w:r>
          </w:p>
          <w:p>
            <w:pPr>
              <w:spacing w:line="540" w:lineRule="exact"/>
              <w:ind w:firstLine="470" w:firstLineChars="196"/>
              <w:rPr>
                <w:rFonts w:ascii="Times New Roman" w:hAnsi="宋体"/>
                <w:sz w:val="24"/>
              </w:rPr>
            </w:pPr>
            <w:r>
              <w:rPr>
                <w:rFonts w:hint="eastAsia" w:ascii="Times New Roman" w:hAnsi="宋体"/>
                <w:sz w:val="24"/>
              </w:rPr>
              <w:t>（4）对施工期运输车辆产生的交通噪声，搞好施工管理，减小对周边声环境产生的影响，对运输车辆限速，禁止车辆高速行驶和禁鸣喇叭。同时选择性能良好、噪声低的运输车辆，并在使用过程中加强维护工作，从源头上减小噪声；</w:t>
            </w:r>
          </w:p>
          <w:p>
            <w:pPr>
              <w:spacing w:line="540" w:lineRule="exact"/>
              <w:ind w:firstLine="470" w:firstLineChars="196"/>
              <w:rPr>
                <w:rFonts w:ascii="Times New Roman" w:hAnsi="宋体"/>
                <w:sz w:val="24"/>
              </w:rPr>
            </w:pPr>
            <w:r>
              <w:rPr>
                <w:rFonts w:hint="eastAsia" w:ascii="Times New Roman" w:hAnsi="宋体"/>
                <w:sz w:val="24"/>
              </w:rPr>
              <w:t>通过上述措施，施工噪声的影响将得到较大程度的缓解，施工结束后，噪声影响随即消失。</w:t>
            </w:r>
          </w:p>
          <w:p>
            <w:pPr>
              <w:spacing w:line="540" w:lineRule="exact"/>
              <w:ind w:firstLine="472" w:firstLineChars="196"/>
              <w:rPr>
                <w:rFonts w:ascii="Times New Roman" w:hAnsi="宋体"/>
                <w:b/>
                <w:sz w:val="24"/>
              </w:rPr>
            </w:pPr>
            <w:r>
              <w:rPr>
                <w:rFonts w:hint="eastAsia" w:ascii="Times New Roman" w:hAnsi="宋体"/>
                <w:b/>
                <w:sz w:val="24"/>
              </w:rPr>
              <w:t>4、固体废物影响分析</w:t>
            </w:r>
          </w:p>
          <w:p>
            <w:pPr>
              <w:spacing w:line="540" w:lineRule="exact"/>
              <w:ind w:firstLine="470" w:firstLineChars="196"/>
              <w:rPr>
                <w:rFonts w:ascii="Times New Roman" w:hAnsi="宋体"/>
                <w:sz w:val="24"/>
              </w:rPr>
            </w:pPr>
            <w:r>
              <w:rPr>
                <w:rFonts w:hint="eastAsia" w:ascii="Times New Roman" w:hAnsi="宋体"/>
                <w:sz w:val="24"/>
              </w:rPr>
              <w:t>施工期间的固废物主要为土石方、建筑垃圾和施工人员的生活垃圾。</w:t>
            </w:r>
          </w:p>
          <w:p>
            <w:pPr>
              <w:spacing w:line="540" w:lineRule="exact"/>
              <w:ind w:firstLine="470" w:firstLineChars="196"/>
              <w:rPr>
                <w:rFonts w:ascii="Times New Roman" w:hAnsi="宋体"/>
                <w:sz w:val="24"/>
              </w:rPr>
            </w:pPr>
            <w:r>
              <w:rPr>
                <w:rFonts w:hint="eastAsia" w:ascii="Times New Roman" w:hAnsi="宋体"/>
                <w:sz w:val="24"/>
              </w:rPr>
              <w:t>项目施工期建筑垃圾主要是废建筑材料，如废砖头、废水泥块、废钢条等，建筑垃圾如果堆存、处置不当，将占用道路以及引发二次扬尘，这将会对项目周围居民和环境产生一定的影响，对于这些建筑垃圾建设方拟采取集中处理，分类收集，可再生利用的进行回收利用，不能回收利用的则及时清理出施工现场至指定堆放场。本项目施工固体废物为一般固废，妥善处理后对周围环境影响较小。</w:t>
            </w:r>
          </w:p>
          <w:p>
            <w:pPr>
              <w:spacing w:line="540" w:lineRule="exact"/>
              <w:ind w:firstLine="470" w:firstLineChars="196"/>
              <w:rPr>
                <w:rFonts w:ascii="Times New Roman" w:hAnsi="宋体"/>
                <w:sz w:val="24"/>
              </w:rPr>
            </w:pPr>
            <w:r>
              <w:rPr>
                <w:rFonts w:hint="eastAsia" w:ascii="Times New Roman" w:hAnsi="宋体"/>
                <w:sz w:val="24"/>
              </w:rPr>
              <w:t>项目拟建地地势较平整，开挖量较小，土石方可做到就地平衡，无外运渣土情况。在项目开挖阶段，土石方的暂且要按照《一般工业废物贮存、处置场污染控制标准》（GB18599-2001）执行，注意防雨措施。</w:t>
            </w:r>
          </w:p>
          <w:p>
            <w:pPr>
              <w:spacing w:line="540" w:lineRule="exact"/>
              <w:ind w:firstLine="470" w:firstLineChars="196"/>
              <w:rPr>
                <w:rFonts w:ascii="Times New Roman" w:hAnsi="宋体"/>
                <w:sz w:val="24"/>
              </w:rPr>
            </w:pPr>
            <w:r>
              <w:rPr>
                <w:rFonts w:hint="eastAsia" w:ascii="Times New Roman" w:hAnsi="Times New Roman"/>
                <w:bCs/>
                <w:color w:val="000000"/>
                <w:sz w:val="24"/>
              </w:rPr>
              <w:t>施工人员生活垃圾以每人0.5kg/d计，施工时的工作人员约15人，则施工期生活垃圾产生量约7.5kg/d。</w:t>
            </w:r>
            <w:r>
              <w:rPr>
                <w:rFonts w:hint="eastAsia" w:ascii="Times New Roman" w:hAnsi="宋体"/>
                <w:sz w:val="24"/>
              </w:rPr>
              <w:t>项目区设置生活垃圾收集桶，施工人员生活垃圾收集后交由环卫部门处理，日产日清。</w:t>
            </w:r>
          </w:p>
          <w:p>
            <w:pPr>
              <w:spacing w:line="540" w:lineRule="exact"/>
              <w:ind w:firstLine="472" w:firstLineChars="196"/>
              <w:rPr>
                <w:rFonts w:ascii="Times New Roman" w:hAnsi="宋体"/>
                <w:b/>
                <w:sz w:val="24"/>
              </w:rPr>
            </w:pPr>
            <w:r>
              <w:rPr>
                <w:rFonts w:hint="eastAsia" w:ascii="Times New Roman" w:hAnsi="宋体"/>
                <w:b/>
                <w:sz w:val="24"/>
              </w:rPr>
              <w:t>5、生态影响简要分析</w:t>
            </w:r>
          </w:p>
          <w:p>
            <w:pPr>
              <w:spacing w:line="560" w:lineRule="exact"/>
              <w:ind w:firstLine="470" w:firstLineChars="196"/>
              <w:rPr>
                <w:rFonts w:ascii="Times New Roman" w:hAnsi="宋体"/>
                <w:sz w:val="24"/>
              </w:rPr>
            </w:pPr>
            <w:r>
              <w:rPr>
                <w:rFonts w:hint="eastAsia" w:ascii="Times New Roman" w:hAnsi="宋体"/>
                <w:sz w:val="24"/>
              </w:rPr>
              <w:t>项目建设过程中涉及到不同程度的挖方和填方，但可以做到填挖基本平衡，不产生弃方。但施工时会破坏地表原有植被，使土地裸露，将导致不同程度的土壤侵蚀、水土流失现象，从而对附近的土壤结构等产生潜在的影响。故必须充分注意水土保持的问题，避免大面积开挖而造成植被破坏，水土流失。</w:t>
            </w:r>
          </w:p>
          <w:p>
            <w:pPr>
              <w:spacing w:line="560" w:lineRule="exact"/>
              <w:ind w:firstLine="470" w:firstLineChars="196"/>
              <w:rPr>
                <w:rFonts w:ascii="Times New Roman" w:hAnsi="宋体"/>
                <w:sz w:val="24"/>
              </w:rPr>
            </w:pPr>
            <w:r>
              <w:rPr>
                <w:rFonts w:hint="eastAsia" w:ascii="Times New Roman" w:hAnsi="宋体"/>
                <w:sz w:val="24"/>
              </w:rPr>
              <w:t>为减轻水土流失带来的环境影响，建设单位必须采取合理的水土保持措施：</w:t>
            </w:r>
          </w:p>
          <w:p>
            <w:pPr>
              <w:spacing w:line="560" w:lineRule="exact"/>
              <w:ind w:firstLine="470" w:firstLineChars="196"/>
              <w:rPr>
                <w:rFonts w:ascii="Times New Roman" w:hAnsi="宋体"/>
                <w:sz w:val="24"/>
              </w:rPr>
            </w:pPr>
            <w:r>
              <w:rPr>
                <w:rFonts w:hint="eastAsia" w:ascii="Times New Roman" w:hAnsi="宋体"/>
                <w:sz w:val="24"/>
              </w:rPr>
              <w:t>（1）从规划设计到工程施工均应充分考虑水土保持工作，并制定严密可靠的水土保持措施。</w:t>
            </w:r>
          </w:p>
          <w:p>
            <w:pPr>
              <w:spacing w:line="560" w:lineRule="exact"/>
              <w:ind w:firstLine="470" w:firstLineChars="196"/>
              <w:rPr>
                <w:rFonts w:ascii="Times New Roman" w:hAnsi="宋体"/>
                <w:sz w:val="24"/>
              </w:rPr>
            </w:pPr>
            <w:r>
              <w:rPr>
                <w:rFonts w:hint="eastAsia" w:ascii="Times New Roman" w:hAnsi="宋体"/>
                <w:sz w:val="24"/>
              </w:rPr>
              <w:t>（2）充分考虑项目当地降雨的季节性变化，合理安排施工期，大面积的破土应尽量避开雨季。</w:t>
            </w:r>
          </w:p>
          <w:p>
            <w:pPr>
              <w:spacing w:line="560" w:lineRule="exact"/>
              <w:ind w:firstLine="470" w:firstLineChars="196"/>
              <w:rPr>
                <w:rFonts w:ascii="Times New Roman" w:hAnsi="宋体"/>
                <w:sz w:val="24"/>
              </w:rPr>
            </w:pPr>
            <w:r>
              <w:rPr>
                <w:rFonts w:hint="eastAsia" w:ascii="Times New Roman" w:hAnsi="宋体"/>
                <w:sz w:val="24"/>
              </w:rPr>
              <w:t>（3）施工期间，应该尽可能采取临时措施进行水土保持，以将施工所引起的水土流失降低到最小限度。例如，应该将堆料等堆放在不容易受到地面径流冲刷的地方，或将容易冲刷堆料临时覆盖起来；对裸露表土及时进行植草种树或覆盖水泥地面。</w:t>
            </w:r>
          </w:p>
          <w:p>
            <w:pPr>
              <w:spacing w:line="560" w:lineRule="exact"/>
              <w:ind w:firstLine="470" w:firstLineChars="196"/>
              <w:rPr>
                <w:rFonts w:ascii="Times New Roman" w:hAnsi="宋体"/>
                <w:sz w:val="24"/>
              </w:rPr>
            </w:pPr>
            <w:r>
              <w:rPr>
                <w:rFonts w:hint="eastAsia" w:ascii="Times New Roman" w:hAnsi="宋体"/>
                <w:sz w:val="24"/>
              </w:rPr>
              <w:t>项目建成后，随着工程绿化措施的逐步落实到位，水土流失量将锐减至本底值以下，对区域生态环境影响降减至最小。</w:t>
            </w:r>
          </w:p>
          <w:p>
            <w:pPr>
              <w:spacing w:line="560" w:lineRule="exact"/>
              <w:ind w:firstLine="472" w:firstLineChars="196"/>
              <w:rPr>
                <w:rFonts w:ascii="Times New Roman" w:hAnsi="宋体"/>
                <w:b/>
                <w:sz w:val="24"/>
              </w:rPr>
            </w:pPr>
            <w:r>
              <w:rPr>
                <w:rFonts w:hint="eastAsia" w:ascii="Times New Roman" w:hAnsi="宋体"/>
                <w:b/>
                <w:sz w:val="24"/>
              </w:rPr>
              <w:t>综上所述，本工程施工期的影响是暂时的，在施工结束后，影响区域的各环境要素基本都可以得到恢复。只要工程施工期认真制定和落实工程期应该采取的环保对策措施，工程施工的环境影响的问题可以得到消除或有效的控制，可以使其对环境的影响降至最小程度。</w:t>
            </w:r>
          </w:p>
          <w:p>
            <w:pPr>
              <w:spacing w:line="560" w:lineRule="exact"/>
              <w:ind w:firstLine="472" w:firstLineChars="196"/>
              <w:rPr>
                <w:rFonts w:ascii="Times New Roman" w:hAnsi="宋体"/>
                <w:b/>
                <w:sz w:val="24"/>
              </w:rPr>
            </w:pPr>
          </w:p>
          <w:p>
            <w:pPr>
              <w:spacing w:line="560" w:lineRule="exact"/>
              <w:ind w:firstLine="472" w:firstLineChars="196"/>
              <w:rPr>
                <w:rFonts w:ascii="Times New Roman" w:hAnsi="宋体"/>
                <w:b/>
                <w:sz w:val="24"/>
              </w:rPr>
            </w:pPr>
          </w:p>
          <w:p>
            <w:pPr>
              <w:snapToGrid w:val="0"/>
              <w:spacing w:line="360" w:lineRule="auto"/>
              <w:rPr>
                <w:rFonts w:ascii="Times New Roman" w:hAnsi="Times New Roman"/>
                <w:b/>
                <w:color w:val="000000" w:themeColor="text1"/>
                <w:spacing w:val="8"/>
                <w:sz w:val="24"/>
                <w:szCs w:val="24"/>
              </w:rPr>
            </w:pPr>
            <w:r>
              <w:rPr>
                <w:rFonts w:hint="eastAsia" w:ascii="Times New Roman" w:hAnsi="宋体"/>
                <w:b/>
                <w:color w:val="000000" w:themeColor="text1"/>
                <w:spacing w:val="8"/>
                <w:sz w:val="24"/>
                <w:szCs w:val="24"/>
              </w:rPr>
              <w:t>二、</w:t>
            </w:r>
            <w:r>
              <w:rPr>
                <w:rFonts w:ascii="Times New Roman" w:hAnsi="宋体"/>
                <w:b/>
                <w:color w:val="000000" w:themeColor="text1"/>
                <w:spacing w:val="8"/>
                <w:sz w:val="24"/>
                <w:szCs w:val="24"/>
              </w:rPr>
              <w:t>运营期环境影响分析</w:t>
            </w:r>
          </w:p>
          <w:p>
            <w:pPr>
              <w:pStyle w:val="9"/>
              <w:adjustRightInd w:val="0"/>
              <w:snapToGrid w:val="0"/>
              <w:spacing w:line="360" w:lineRule="auto"/>
              <w:ind w:firstLine="480"/>
              <w:rPr>
                <w:rFonts w:eastAsia="宋体"/>
                <w:b/>
                <w:color w:val="000000" w:themeColor="text1"/>
                <w:spacing w:val="8"/>
                <w:sz w:val="24"/>
                <w:szCs w:val="24"/>
              </w:rPr>
            </w:pPr>
            <w:r>
              <w:rPr>
                <w:rFonts w:hint="eastAsia" w:hAnsi="宋体" w:eastAsia="宋体"/>
                <w:b/>
                <w:color w:val="000000" w:themeColor="text1"/>
                <w:spacing w:val="8"/>
                <w:sz w:val="24"/>
                <w:szCs w:val="24"/>
              </w:rPr>
              <w:t>1</w:t>
            </w:r>
            <w:r>
              <w:rPr>
                <w:rFonts w:hAnsi="宋体" w:eastAsia="宋体"/>
                <w:b/>
                <w:color w:val="000000" w:themeColor="text1"/>
                <w:spacing w:val="8"/>
                <w:sz w:val="24"/>
                <w:szCs w:val="24"/>
              </w:rPr>
              <w:t>、水环境影响分析：</w:t>
            </w:r>
          </w:p>
          <w:p>
            <w:pPr>
              <w:adjustRightInd w:val="0"/>
              <w:snapToGrid w:val="0"/>
              <w:spacing w:line="360" w:lineRule="auto"/>
              <w:ind w:firstLine="480" w:firstLineChars="200"/>
              <w:rPr>
                <w:rFonts w:ascii="Times New Roman" w:hAnsi="宋体"/>
                <w:color w:val="000000"/>
                <w:sz w:val="24"/>
                <w:szCs w:val="24"/>
              </w:rPr>
            </w:pPr>
            <w:r>
              <w:rPr>
                <w:rFonts w:hint="eastAsia" w:ascii="Times New Roman" w:hAnsi="Times New Roman"/>
                <w:color w:val="000000"/>
                <w:sz w:val="24"/>
                <w:szCs w:val="24"/>
              </w:rPr>
              <w:t>（1）</w:t>
            </w:r>
            <w:r>
              <w:rPr>
                <w:rFonts w:ascii="Times New Roman" w:hAnsi="Times New Roman"/>
                <w:color w:val="000000"/>
                <w:sz w:val="24"/>
                <w:szCs w:val="24"/>
              </w:rPr>
              <w:t>工业废水：</w:t>
            </w:r>
            <w:r>
              <w:rPr>
                <w:rFonts w:ascii="Times New Roman" w:hAnsi="宋体"/>
                <w:color w:val="000000"/>
                <w:sz w:val="24"/>
              </w:rPr>
              <w:t>项目清洗搅拌机、运输车等设备及冲洗地面产生一定量的清洗废水。根据厂家介绍及</w:t>
            </w:r>
            <w:r>
              <w:rPr>
                <w:rFonts w:hint="eastAsia" w:ascii="Times New Roman" w:hAnsi="宋体"/>
                <w:color w:val="000000"/>
                <w:sz w:val="24"/>
              </w:rPr>
              <w:t>类比调查</w:t>
            </w:r>
            <w:r>
              <w:rPr>
                <w:rFonts w:ascii="Times New Roman" w:hAnsi="宋体"/>
                <w:color w:val="000000"/>
                <w:sz w:val="24"/>
              </w:rPr>
              <w:t>，项目清洗废水产生量为</w:t>
            </w:r>
            <w:r>
              <w:rPr>
                <w:rFonts w:ascii="Times New Roman" w:hAnsi="Times New Roman"/>
                <w:color w:val="000000"/>
                <w:sz w:val="24"/>
              </w:rPr>
              <w:t>20</w:t>
            </w:r>
            <w:r>
              <w:rPr>
                <w:rFonts w:ascii="Times New Roman" w:hAnsi="宋体"/>
                <w:color w:val="000000"/>
                <w:sz w:val="24"/>
              </w:rPr>
              <w:t>吨</w:t>
            </w:r>
            <w:r>
              <w:rPr>
                <w:rFonts w:ascii="Times New Roman" w:hAnsi="Times New Roman"/>
                <w:color w:val="000000"/>
                <w:sz w:val="24"/>
              </w:rPr>
              <w:t>/</w:t>
            </w:r>
            <w:r>
              <w:rPr>
                <w:rFonts w:ascii="Times New Roman" w:hAnsi="宋体"/>
                <w:color w:val="000000"/>
                <w:sz w:val="24"/>
              </w:rPr>
              <w:t>日，</w:t>
            </w:r>
            <w:r>
              <w:rPr>
                <w:rFonts w:ascii="Times New Roman" w:hAnsi="宋体"/>
                <w:color w:val="000000"/>
                <w:sz w:val="24"/>
                <w:szCs w:val="24"/>
              </w:rPr>
              <w:t>项目混凝土搅拌机清洗废水</w:t>
            </w:r>
            <w:r>
              <w:rPr>
                <w:rFonts w:hint="eastAsia" w:ascii="Times New Roman" w:hAnsi="宋体"/>
                <w:color w:val="000000"/>
                <w:sz w:val="24"/>
                <w:szCs w:val="24"/>
              </w:rPr>
              <w:t>、</w:t>
            </w:r>
            <w:r>
              <w:rPr>
                <w:rFonts w:ascii="Times New Roman" w:hAnsi="宋体"/>
                <w:color w:val="000000"/>
                <w:sz w:val="24"/>
                <w:szCs w:val="24"/>
              </w:rPr>
              <w:t>地面冲洗废水、车辆清洗废水经三级沉淀池</w:t>
            </w:r>
            <w:r>
              <w:rPr>
                <w:rFonts w:hint="eastAsia" w:ascii="Times New Roman" w:hAnsi="宋体"/>
                <w:color w:val="000000"/>
                <w:sz w:val="24"/>
                <w:szCs w:val="24"/>
              </w:rPr>
              <w:t>+清水池</w:t>
            </w:r>
            <w:r>
              <w:rPr>
                <w:rFonts w:ascii="Times New Roman" w:hAnsi="宋体"/>
                <w:color w:val="000000"/>
                <w:sz w:val="24"/>
                <w:szCs w:val="24"/>
              </w:rPr>
              <w:t>处理后全部回用，不外排。</w:t>
            </w:r>
          </w:p>
          <w:p>
            <w:pPr>
              <w:adjustRightInd w:val="0"/>
              <w:snapToGrid w:val="0"/>
              <w:spacing w:line="360" w:lineRule="auto"/>
              <w:ind w:firstLine="480" w:firstLineChars="200"/>
              <w:rPr>
                <w:rFonts w:ascii="Times New Roman" w:hAnsi="Times New Roman"/>
                <w:color w:val="000000"/>
                <w:sz w:val="24"/>
              </w:rPr>
            </w:pPr>
            <w:r>
              <w:rPr>
                <w:rFonts w:hint="eastAsia" w:ascii="Times New Roman" w:hAnsi="Times New Roman"/>
                <w:color w:val="000000"/>
                <w:sz w:val="24"/>
                <w:szCs w:val="24"/>
              </w:rPr>
              <w:t>（2）</w:t>
            </w:r>
            <w:r>
              <w:rPr>
                <w:rFonts w:ascii="Times New Roman" w:hAnsi="Times New Roman"/>
                <w:color w:val="000000"/>
                <w:sz w:val="24"/>
                <w:szCs w:val="24"/>
              </w:rPr>
              <w:t>生活废水：</w:t>
            </w:r>
            <w:r>
              <w:rPr>
                <w:rFonts w:ascii="Times New Roman" w:hAnsi="Times New Roman"/>
                <w:color w:val="000000"/>
                <w:sz w:val="24"/>
              </w:rPr>
              <w:t>项目定员</w:t>
            </w:r>
            <w:r>
              <w:rPr>
                <w:rFonts w:hint="eastAsia" w:ascii="Times New Roman" w:hAnsi="Times New Roman"/>
                <w:color w:val="000000"/>
                <w:sz w:val="24"/>
              </w:rPr>
              <w:t>40</w:t>
            </w:r>
            <w:r>
              <w:rPr>
                <w:rFonts w:ascii="Times New Roman" w:hAnsi="Times New Roman"/>
                <w:color w:val="000000"/>
                <w:sz w:val="24"/>
              </w:rPr>
              <w:t>人，员工统一在项目</w:t>
            </w:r>
            <w:r>
              <w:rPr>
                <w:rFonts w:hint="eastAsia" w:ascii="Times New Roman" w:hAnsi="Times New Roman"/>
                <w:color w:val="000000"/>
                <w:sz w:val="24"/>
              </w:rPr>
              <w:t>内食宿</w:t>
            </w:r>
            <w:r>
              <w:rPr>
                <w:rFonts w:ascii="Times New Roman" w:hAnsi="Times New Roman"/>
                <w:color w:val="000000"/>
                <w:sz w:val="24"/>
              </w:rPr>
              <w:t>，员工在班期间产生生活污水，生活污水排放量为</w:t>
            </w:r>
            <w:r>
              <w:rPr>
                <w:rFonts w:hint="eastAsia" w:ascii="Times New Roman" w:hAnsi="Times New Roman"/>
                <w:color w:val="000000"/>
                <w:sz w:val="24"/>
              </w:rPr>
              <w:t>864</w:t>
            </w:r>
            <w:r>
              <w:rPr>
                <w:rFonts w:ascii="Times New Roman" w:hAnsi="Times New Roman"/>
                <w:color w:val="000000"/>
                <w:sz w:val="24"/>
              </w:rPr>
              <w:t>t/a，主要污染因子为COD</w:t>
            </w:r>
            <w:r>
              <w:rPr>
                <w:rFonts w:ascii="Times New Roman" w:hAnsi="Times New Roman"/>
                <w:color w:val="000000"/>
                <w:sz w:val="24"/>
                <w:vertAlign w:val="subscript"/>
              </w:rPr>
              <w:t>Cr</w:t>
            </w:r>
            <w:r>
              <w:rPr>
                <w:rFonts w:ascii="Times New Roman" w:hAnsi="Times New Roman"/>
                <w:color w:val="000000"/>
                <w:sz w:val="24"/>
              </w:rPr>
              <w:t>、BOD</w:t>
            </w:r>
            <w:r>
              <w:rPr>
                <w:rFonts w:ascii="Times New Roman" w:hAnsi="Times New Roman"/>
                <w:color w:val="000000"/>
                <w:sz w:val="24"/>
                <w:vertAlign w:val="subscript"/>
              </w:rPr>
              <w:t>5</w:t>
            </w:r>
            <w:r>
              <w:rPr>
                <w:rFonts w:ascii="Times New Roman" w:hAnsi="Times New Roman"/>
                <w:color w:val="000000"/>
                <w:sz w:val="24"/>
              </w:rPr>
              <w:t>、SS，浓度分别为400mg/L、200mg/L、220mg/L。</w:t>
            </w:r>
          </w:p>
          <w:p>
            <w:pPr>
              <w:pStyle w:val="9"/>
              <w:adjustRightInd w:val="0"/>
              <w:snapToGrid w:val="0"/>
              <w:spacing w:line="360" w:lineRule="auto"/>
              <w:ind w:firstLine="480" w:firstLineChars="200"/>
              <w:rPr>
                <w:rFonts w:eastAsia="宋体"/>
                <w:color w:val="000000" w:themeColor="text1"/>
                <w:sz w:val="24"/>
                <w:szCs w:val="24"/>
              </w:rPr>
            </w:pPr>
            <w:r>
              <w:rPr>
                <w:rStyle w:val="60"/>
                <w:rFonts w:hint="eastAsia" w:ascii="Times New Roman" w:eastAsia="宋体"/>
                <w:color w:val="000000" w:themeColor="text1"/>
                <w:szCs w:val="24"/>
              </w:rPr>
              <w:t>根据建设方提供资料，拟在厂区内建设1座污水处理设施，项目产生的生活污水经化粪池处理后，再经生活污水处理设施处理达标后排入品清湖。</w:t>
            </w:r>
            <w:r>
              <w:rPr>
                <w:rFonts w:hint="eastAsia" w:hAnsi="宋体" w:eastAsia="宋体"/>
                <w:color w:val="000000" w:themeColor="text1"/>
                <w:sz w:val="24"/>
                <w:szCs w:val="24"/>
              </w:rPr>
              <w:t>本环评建议生活污水处理</w:t>
            </w:r>
            <w:r>
              <w:rPr>
                <w:rStyle w:val="60"/>
                <w:rFonts w:hint="eastAsia" w:ascii="Times New Roman" w:eastAsia="宋体"/>
                <w:color w:val="000000" w:themeColor="text1"/>
                <w:szCs w:val="24"/>
              </w:rPr>
              <w:t>设施</w:t>
            </w:r>
            <w:r>
              <w:rPr>
                <w:rFonts w:hint="eastAsia" w:hAnsi="宋体" w:eastAsia="宋体"/>
                <w:color w:val="000000" w:themeColor="text1"/>
                <w:sz w:val="24"/>
                <w:szCs w:val="24"/>
              </w:rPr>
              <w:t>采用二级生化脱氮除磷的强化A</w:t>
            </w:r>
            <w:r>
              <w:rPr>
                <w:rFonts w:hint="eastAsia" w:hAnsi="宋体" w:eastAsia="宋体"/>
                <w:color w:val="000000" w:themeColor="text1"/>
                <w:sz w:val="24"/>
                <w:szCs w:val="24"/>
                <w:vertAlign w:val="superscript"/>
              </w:rPr>
              <w:t>2</w:t>
            </w:r>
            <w:r>
              <w:rPr>
                <w:rFonts w:hint="eastAsia" w:hAnsi="宋体" w:eastAsia="宋体"/>
                <w:color w:val="000000" w:themeColor="text1"/>
                <w:sz w:val="24"/>
                <w:szCs w:val="24"/>
              </w:rPr>
              <w:t>/O工艺。</w:t>
            </w:r>
            <w:r>
              <w:rPr>
                <w:rFonts w:hAnsi="宋体" w:eastAsia="宋体"/>
                <w:color w:val="000000" w:themeColor="text1"/>
                <w:sz w:val="24"/>
                <w:szCs w:val="24"/>
              </w:rPr>
              <w:t>生活污水中主要水污染物产生量及达标排放量详见表1</w:t>
            </w:r>
            <w:r>
              <w:rPr>
                <w:rFonts w:hint="eastAsia" w:hAnsi="宋体" w:eastAsia="宋体"/>
                <w:color w:val="000000" w:themeColor="text1"/>
                <w:sz w:val="24"/>
                <w:szCs w:val="24"/>
              </w:rPr>
              <w:t>1</w:t>
            </w:r>
            <w:r>
              <w:rPr>
                <w:rFonts w:hAnsi="宋体" w:eastAsia="宋体"/>
                <w:color w:val="000000" w:themeColor="text1"/>
                <w:sz w:val="24"/>
                <w:szCs w:val="24"/>
              </w:rPr>
              <w:t>。</w:t>
            </w:r>
          </w:p>
          <w:p>
            <w:pPr>
              <w:pStyle w:val="9"/>
              <w:adjustRightInd w:val="0"/>
              <w:snapToGrid w:val="0"/>
              <w:spacing w:line="360" w:lineRule="auto"/>
              <w:ind w:firstLine="0"/>
              <w:jc w:val="center"/>
              <w:rPr>
                <w:rFonts w:hAnsi="宋体" w:eastAsia="宋体"/>
                <w:b/>
                <w:color w:val="000000" w:themeColor="text1"/>
                <w:kern w:val="0"/>
                <w:sz w:val="24"/>
              </w:rPr>
            </w:pPr>
          </w:p>
          <w:p>
            <w:pPr>
              <w:pStyle w:val="9"/>
              <w:adjustRightInd w:val="0"/>
              <w:snapToGrid w:val="0"/>
              <w:spacing w:line="360" w:lineRule="auto"/>
              <w:ind w:firstLine="0"/>
              <w:jc w:val="center"/>
              <w:rPr>
                <w:rFonts w:eastAsia="宋体"/>
                <w:b/>
                <w:color w:val="000000" w:themeColor="text1"/>
                <w:kern w:val="0"/>
                <w:sz w:val="24"/>
              </w:rPr>
            </w:pPr>
            <w:r>
              <w:rPr>
                <w:rFonts w:hAnsi="宋体" w:eastAsia="宋体"/>
                <w:b/>
                <w:color w:val="000000" w:themeColor="text1"/>
                <w:kern w:val="0"/>
                <w:sz w:val="24"/>
              </w:rPr>
              <w:t>表</w:t>
            </w:r>
            <w:r>
              <w:rPr>
                <w:rFonts w:eastAsia="宋体"/>
                <w:b/>
                <w:color w:val="000000" w:themeColor="text1"/>
                <w:kern w:val="0"/>
                <w:sz w:val="24"/>
              </w:rPr>
              <w:t>1</w:t>
            </w:r>
            <w:r>
              <w:rPr>
                <w:rFonts w:hint="eastAsia" w:eastAsia="宋体"/>
                <w:b/>
                <w:color w:val="000000" w:themeColor="text1"/>
                <w:kern w:val="0"/>
                <w:sz w:val="24"/>
              </w:rPr>
              <w:t>1</w:t>
            </w:r>
            <w:r>
              <w:rPr>
                <w:rFonts w:eastAsia="宋体"/>
                <w:b/>
                <w:color w:val="000000" w:themeColor="text1"/>
                <w:kern w:val="0"/>
                <w:sz w:val="24"/>
              </w:rPr>
              <w:t xml:space="preserve">  </w:t>
            </w:r>
            <w:r>
              <w:rPr>
                <w:rFonts w:hAnsi="宋体" w:eastAsia="宋体"/>
                <w:b/>
                <w:color w:val="000000" w:themeColor="text1"/>
                <w:kern w:val="0"/>
                <w:sz w:val="24"/>
              </w:rPr>
              <w:t>生活污水中主要水污染物产生量及达标排放量</w:t>
            </w:r>
          </w:p>
          <w:tbl>
            <w:tblPr>
              <w:tblStyle w:val="27"/>
              <w:tblW w:w="793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80"/>
              <w:gridCol w:w="1253"/>
              <w:gridCol w:w="1584"/>
              <w:gridCol w:w="1589"/>
              <w:gridCol w:w="16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80" w:type="dxa"/>
                  <w:vAlign w:val="center"/>
                </w:tcPr>
                <w:p>
                  <w:pPr>
                    <w:pStyle w:val="9"/>
                    <w:adjustRightInd w:val="0"/>
                    <w:snapToGrid w:val="0"/>
                    <w:spacing w:beforeLines="5" w:afterLines="5"/>
                    <w:ind w:firstLine="0"/>
                    <w:jc w:val="center"/>
                    <w:rPr>
                      <w:rFonts w:eastAsia="宋体"/>
                      <w:b/>
                      <w:color w:val="000000" w:themeColor="text1"/>
                      <w:szCs w:val="21"/>
                    </w:rPr>
                  </w:pPr>
                  <w:r>
                    <w:rPr>
                      <w:rFonts w:hAnsi="宋体" w:eastAsia="宋体"/>
                      <w:b/>
                      <w:color w:val="000000" w:themeColor="text1"/>
                      <w:szCs w:val="21"/>
                    </w:rPr>
                    <w:t>污染物名称</w:t>
                  </w:r>
                </w:p>
              </w:tc>
              <w:tc>
                <w:tcPr>
                  <w:tcW w:w="1253" w:type="dxa"/>
                  <w:vAlign w:val="center"/>
                </w:tcPr>
                <w:p>
                  <w:pPr>
                    <w:pStyle w:val="9"/>
                    <w:adjustRightInd w:val="0"/>
                    <w:snapToGrid w:val="0"/>
                    <w:spacing w:beforeLines="5" w:afterLines="5"/>
                    <w:ind w:firstLine="0"/>
                    <w:jc w:val="center"/>
                    <w:rPr>
                      <w:rFonts w:eastAsia="宋体"/>
                      <w:b/>
                      <w:color w:val="000000" w:themeColor="text1"/>
                      <w:szCs w:val="21"/>
                    </w:rPr>
                  </w:pPr>
                  <w:r>
                    <w:rPr>
                      <w:rFonts w:hAnsi="宋体" w:eastAsia="宋体"/>
                      <w:b/>
                      <w:color w:val="000000" w:themeColor="text1"/>
                      <w:szCs w:val="21"/>
                    </w:rPr>
                    <w:t>污水</w:t>
                  </w:r>
                </w:p>
                <w:p>
                  <w:pPr>
                    <w:pStyle w:val="9"/>
                    <w:adjustRightInd w:val="0"/>
                    <w:snapToGrid w:val="0"/>
                    <w:spacing w:beforeLines="5" w:afterLines="5"/>
                    <w:ind w:firstLine="0"/>
                    <w:jc w:val="center"/>
                    <w:rPr>
                      <w:rFonts w:eastAsia="宋体"/>
                      <w:b/>
                      <w:color w:val="000000" w:themeColor="text1"/>
                      <w:szCs w:val="21"/>
                    </w:rPr>
                  </w:pPr>
                  <w:r>
                    <w:rPr>
                      <w:rFonts w:hAnsi="宋体" w:eastAsia="宋体"/>
                      <w:b/>
                      <w:color w:val="000000" w:themeColor="text1"/>
                      <w:szCs w:val="21"/>
                    </w:rPr>
                    <w:t>排放量</w:t>
                  </w:r>
                </w:p>
              </w:tc>
              <w:tc>
                <w:tcPr>
                  <w:tcW w:w="1584" w:type="dxa"/>
                  <w:vAlign w:val="center"/>
                </w:tcPr>
                <w:p>
                  <w:pPr>
                    <w:pStyle w:val="9"/>
                    <w:adjustRightInd w:val="0"/>
                    <w:snapToGrid w:val="0"/>
                    <w:spacing w:beforeLines="5" w:afterLines="5"/>
                    <w:ind w:firstLine="0"/>
                    <w:jc w:val="center"/>
                    <w:rPr>
                      <w:rFonts w:eastAsia="宋体"/>
                      <w:b/>
                      <w:color w:val="000000" w:themeColor="text1"/>
                      <w:szCs w:val="21"/>
                    </w:rPr>
                  </w:pPr>
                  <w:r>
                    <w:rPr>
                      <w:rFonts w:eastAsia="宋体"/>
                      <w:b/>
                      <w:color w:val="000000" w:themeColor="text1"/>
                      <w:szCs w:val="21"/>
                    </w:rPr>
                    <w:t>CODcr</w:t>
                  </w:r>
                </w:p>
              </w:tc>
              <w:tc>
                <w:tcPr>
                  <w:tcW w:w="1589" w:type="dxa"/>
                  <w:tcBorders>
                    <w:right w:val="single" w:color="auto" w:sz="4" w:space="0"/>
                  </w:tcBorders>
                  <w:vAlign w:val="center"/>
                </w:tcPr>
                <w:p>
                  <w:pPr>
                    <w:pStyle w:val="9"/>
                    <w:adjustRightInd w:val="0"/>
                    <w:snapToGrid w:val="0"/>
                    <w:spacing w:beforeLines="5" w:afterLines="5"/>
                    <w:ind w:firstLine="0"/>
                    <w:jc w:val="center"/>
                    <w:rPr>
                      <w:rFonts w:eastAsia="宋体"/>
                      <w:b/>
                      <w:color w:val="000000" w:themeColor="text1"/>
                      <w:szCs w:val="21"/>
                    </w:rPr>
                  </w:pPr>
                  <w:r>
                    <w:rPr>
                      <w:rFonts w:eastAsia="宋体"/>
                      <w:b/>
                      <w:color w:val="000000" w:themeColor="text1"/>
                      <w:szCs w:val="21"/>
                    </w:rPr>
                    <w:t>BOD</w:t>
                  </w:r>
                  <w:r>
                    <w:rPr>
                      <w:rFonts w:eastAsia="宋体"/>
                      <w:b/>
                      <w:color w:val="000000" w:themeColor="text1"/>
                      <w:szCs w:val="21"/>
                      <w:vertAlign w:val="subscript"/>
                    </w:rPr>
                    <w:t>5</w:t>
                  </w:r>
                </w:p>
              </w:tc>
              <w:tc>
                <w:tcPr>
                  <w:tcW w:w="1632" w:type="dxa"/>
                  <w:vAlign w:val="center"/>
                </w:tcPr>
                <w:p>
                  <w:pPr>
                    <w:pStyle w:val="9"/>
                    <w:adjustRightInd w:val="0"/>
                    <w:snapToGrid w:val="0"/>
                    <w:spacing w:beforeLines="5" w:afterLines="5"/>
                    <w:ind w:firstLine="0"/>
                    <w:jc w:val="center"/>
                    <w:rPr>
                      <w:rFonts w:eastAsia="宋体"/>
                      <w:b/>
                      <w:color w:val="000000" w:themeColor="text1"/>
                      <w:szCs w:val="21"/>
                    </w:rPr>
                  </w:pPr>
                  <w:r>
                    <w:rPr>
                      <w:rFonts w:eastAsia="宋体"/>
                      <w:b/>
                      <w:color w:val="000000" w:themeColor="text1"/>
                      <w:szCs w:val="21"/>
                    </w:rPr>
                    <w:t>SS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80" w:type="dxa"/>
                  <w:vAlign w:val="center"/>
                </w:tcPr>
                <w:p>
                  <w:pPr>
                    <w:pStyle w:val="9"/>
                    <w:adjustRightInd w:val="0"/>
                    <w:snapToGrid w:val="0"/>
                    <w:spacing w:beforeLines="5" w:afterLines="5"/>
                    <w:ind w:firstLine="0"/>
                    <w:jc w:val="center"/>
                    <w:rPr>
                      <w:rFonts w:eastAsia="宋体"/>
                      <w:color w:val="000000" w:themeColor="text1"/>
                      <w:szCs w:val="21"/>
                    </w:rPr>
                  </w:pPr>
                  <w:r>
                    <w:rPr>
                      <w:rFonts w:hAnsi="宋体" w:eastAsia="宋体"/>
                      <w:color w:val="000000" w:themeColor="text1"/>
                      <w:szCs w:val="21"/>
                    </w:rPr>
                    <w:t>产生浓度</w:t>
                  </w:r>
                </w:p>
              </w:tc>
              <w:tc>
                <w:tcPr>
                  <w:tcW w:w="1253" w:type="dxa"/>
                  <w:vMerge w:val="restart"/>
                  <w:vAlign w:val="center"/>
                </w:tcPr>
                <w:p>
                  <w:pPr>
                    <w:pStyle w:val="9"/>
                    <w:adjustRightInd w:val="0"/>
                    <w:snapToGrid w:val="0"/>
                    <w:ind w:firstLine="0"/>
                    <w:jc w:val="center"/>
                    <w:rPr>
                      <w:rFonts w:eastAsia="宋体"/>
                      <w:color w:val="000000" w:themeColor="text1"/>
                      <w:szCs w:val="21"/>
                    </w:rPr>
                  </w:pPr>
                  <w:r>
                    <w:rPr>
                      <w:color w:val="000000" w:themeColor="text1"/>
                      <w:szCs w:val="21"/>
                    </w:rPr>
                    <w:t>864</w:t>
                  </w:r>
                  <w:r>
                    <w:rPr>
                      <w:rFonts w:eastAsia="宋体"/>
                      <w:color w:val="000000" w:themeColor="text1"/>
                      <w:szCs w:val="21"/>
                    </w:rPr>
                    <w:t>t/a</w:t>
                  </w:r>
                </w:p>
              </w:tc>
              <w:tc>
                <w:tcPr>
                  <w:tcW w:w="1584" w:type="dxa"/>
                  <w:vAlign w:val="center"/>
                </w:tcPr>
                <w:p>
                  <w:pPr>
                    <w:pStyle w:val="9"/>
                    <w:adjustRightInd w:val="0"/>
                    <w:snapToGrid w:val="0"/>
                    <w:ind w:firstLine="0"/>
                    <w:jc w:val="center"/>
                    <w:rPr>
                      <w:rFonts w:eastAsia="宋体"/>
                      <w:color w:val="000000" w:themeColor="text1"/>
                      <w:szCs w:val="21"/>
                    </w:rPr>
                  </w:pPr>
                  <w:r>
                    <w:rPr>
                      <w:rFonts w:eastAsia="宋体"/>
                      <w:color w:val="000000" w:themeColor="text1"/>
                      <w:szCs w:val="21"/>
                    </w:rPr>
                    <w:t>400mg/L</w:t>
                  </w:r>
                </w:p>
              </w:tc>
              <w:tc>
                <w:tcPr>
                  <w:tcW w:w="1589" w:type="dxa"/>
                  <w:tcBorders>
                    <w:right w:val="single" w:color="auto" w:sz="4" w:space="0"/>
                  </w:tcBorders>
                  <w:vAlign w:val="center"/>
                </w:tcPr>
                <w:p>
                  <w:pPr>
                    <w:pStyle w:val="9"/>
                    <w:adjustRightInd w:val="0"/>
                    <w:snapToGrid w:val="0"/>
                    <w:ind w:firstLine="0"/>
                    <w:jc w:val="center"/>
                    <w:rPr>
                      <w:rFonts w:eastAsia="宋体"/>
                      <w:color w:val="000000" w:themeColor="text1"/>
                      <w:szCs w:val="21"/>
                    </w:rPr>
                  </w:pPr>
                  <w:r>
                    <w:rPr>
                      <w:rFonts w:eastAsia="宋体"/>
                      <w:color w:val="000000" w:themeColor="text1"/>
                      <w:szCs w:val="21"/>
                    </w:rPr>
                    <w:t>200mg/L</w:t>
                  </w:r>
                </w:p>
              </w:tc>
              <w:tc>
                <w:tcPr>
                  <w:tcW w:w="1632" w:type="dxa"/>
                  <w:vAlign w:val="center"/>
                </w:tcPr>
                <w:p>
                  <w:pPr>
                    <w:pStyle w:val="9"/>
                    <w:adjustRightInd w:val="0"/>
                    <w:snapToGrid w:val="0"/>
                    <w:ind w:firstLine="0"/>
                    <w:jc w:val="center"/>
                    <w:rPr>
                      <w:rFonts w:eastAsia="宋体"/>
                      <w:color w:val="000000" w:themeColor="text1"/>
                      <w:szCs w:val="21"/>
                    </w:rPr>
                  </w:pPr>
                  <w:r>
                    <w:rPr>
                      <w:rFonts w:eastAsia="宋体"/>
                      <w:color w:val="000000" w:themeColor="text1"/>
                      <w:szCs w:val="21"/>
                    </w:rPr>
                    <w:t>220mg/l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80" w:type="dxa"/>
                  <w:vAlign w:val="center"/>
                </w:tcPr>
                <w:p>
                  <w:pPr>
                    <w:pStyle w:val="9"/>
                    <w:adjustRightInd w:val="0"/>
                    <w:snapToGrid w:val="0"/>
                    <w:spacing w:beforeLines="5" w:afterLines="5"/>
                    <w:ind w:firstLine="0"/>
                    <w:jc w:val="center"/>
                    <w:rPr>
                      <w:rFonts w:eastAsia="宋体"/>
                      <w:color w:val="000000" w:themeColor="text1"/>
                      <w:szCs w:val="21"/>
                    </w:rPr>
                  </w:pPr>
                  <w:r>
                    <w:rPr>
                      <w:rFonts w:hAnsi="宋体" w:eastAsia="宋体"/>
                      <w:color w:val="000000" w:themeColor="text1"/>
                      <w:szCs w:val="21"/>
                    </w:rPr>
                    <w:t>产生量</w:t>
                  </w:r>
                </w:p>
              </w:tc>
              <w:tc>
                <w:tcPr>
                  <w:tcW w:w="1253" w:type="dxa"/>
                  <w:vMerge w:val="continue"/>
                  <w:vAlign w:val="center"/>
                </w:tcPr>
                <w:p>
                  <w:pPr>
                    <w:pStyle w:val="9"/>
                    <w:adjustRightInd w:val="0"/>
                    <w:snapToGrid w:val="0"/>
                    <w:spacing w:beforeLines="5" w:afterLines="5"/>
                    <w:jc w:val="center"/>
                    <w:rPr>
                      <w:rFonts w:eastAsia="宋体"/>
                      <w:color w:val="000000" w:themeColor="text1"/>
                      <w:szCs w:val="21"/>
                    </w:rPr>
                  </w:pPr>
                </w:p>
              </w:tc>
              <w:tc>
                <w:tcPr>
                  <w:tcW w:w="1584" w:type="dxa"/>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0.346</w:t>
                  </w:r>
                  <w:r>
                    <w:rPr>
                      <w:rFonts w:ascii="Times New Roman" w:hAnsi="Times New Roman"/>
                      <w:color w:val="000000" w:themeColor="text1"/>
                      <w:szCs w:val="21"/>
                    </w:rPr>
                    <w:t>t/d</w:t>
                  </w:r>
                </w:p>
              </w:tc>
              <w:tc>
                <w:tcPr>
                  <w:tcW w:w="1589" w:type="dxa"/>
                  <w:tcBorders>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0.173</w:t>
                  </w:r>
                  <w:r>
                    <w:rPr>
                      <w:rFonts w:ascii="Times New Roman" w:hAnsi="Times New Roman"/>
                      <w:color w:val="000000" w:themeColor="text1"/>
                      <w:szCs w:val="21"/>
                    </w:rPr>
                    <w:t>t/d</w:t>
                  </w:r>
                </w:p>
              </w:tc>
              <w:tc>
                <w:tcPr>
                  <w:tcW w:w="1632"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0.</w:t>
                  </w:r>
                  <w:r>
                    <w:rPr>
                      <w:rFonts w:hint="eastAsia" w:ascii="Times New Roman" w:hAnsi="Times New Roman"/>
                      <w:color w:val="000000" w:themeColor="text1"/>
                      <w:szCs w:val="21"/>
                    </w:rPr>
                    <w:t>190</w:t>
                  </w:r>
                  <w:r>
                    <w:rPr>
                      <w:rFonts w:ascii="Times New Roman" w:hAnsi="Times New Roman"/>
                      <w:color w:val="000000" w:themeColor="text1"/>
                      <w:szCs w:val="21"/>
                    </w:rPr>
                    <w:t>t/d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80" w:type="dxa"/>
                  <w:tcBorders>
                    <w:bottom w:val="single" w:color="auto" w:sz="4" w:space="0"/>
                  </w:tcBorders>
                  <w:vAlign w:val="center"/>
                </w:tcPr>
                <w:p>
                  <w:pPr>
                    <w:pStyle w:val="9"/>
                    <w:adjustRightInd w:val="0"/>
                    <w:snapToGrid w:val="0"/>
                    <w:spacing w:beforeLines="5" w:afterLines="5"/>
                    <w:ind w:firstLine="0"/>
                    <w:jc w:val="center"/>
                    <w:rPr>
                      <w:rFonts w:eastAsia="宋体"/>
                      <w:color w:val="000000" w:themeColor="text1"/>
                      <w:szCs w:val="21"/>
                    </w:rPr>
                  </w:pPr>
                  <w:r>
                    <w:rPr>
                      <w:rFonts w:hAnsi="宋体" w:eastAsia="宋体"/>
                      <w:color w:val="000000" w:themeColor="text1"/>
                    </w:rPr>
                    <w:t>达标浓度</w:t>
                  </w:r>
                </w:p>
              </w:tc>
              <w:tc>
                <w:tcPr>
                  <w:tcW w:w="1253" w:type="dxa"/>
                  <w:vMerge w:val="continue"/>
                  <w:vAlign w:val="center"/>
                </w:tcPr>
                <w:p>
                  <w:pPr>
                    <w:pStyle w:val="9"/>
                    <w:adjustRightInd w:val="0"/>
                    <w:snapToGrid w:val="0"/>
                    <w:spacing w:beforeLines="5" w:afterLines="5"/>
                    <w:jc w:val="center"/>
                    <w:rPr>
                      <w:rFonts w:eastAsia="宋体"/>
                      <w:color w:val="000000" w:themeColor="text1"/>
                      <w:szCs w:val="21"/>
                    </w:rPr>
                  </w:pPr>
                </w:p>
              </w:tc>
              <w:tc>
                <w:tcPr>
                  <w:tcW w:w="1584" w:type="dxa"/>
                  <w:tcBorders>
                    <w:bottom w:val="single" w:color="auto" w:sz="4" w:space="0"/>
                  </w:tcBorders>
                  <w:vAlign w:val="center"/>
                </w:tcPr>
                <w:p>
                  <w:pPr>
                    <w:pStyle w:val="9"/>
                    <w:adjustRightInd w:val="0"/>
                    <w:snapToGrid w:val="0"/>
                    <w:ind w:firstLine="0"/>
                    <w:jc w:val="center"/>
                    <w:rPr>
                      <w:rFonts w:eastAsia="宋体"/>
                      <w:color w:val="000000" w:themeColor="text1"/>
                      <w:szCs w:val="21"/>
                    </w:rPr>
                  </w:pPr>
                  <w:r>
                    <w:rPr>
                      <w:rFonts w:hint="eastAsia" w:eastAsia="宋体"/>
                      <w:color w:val="000000" w:themeColor="text1"/>
                      <w:szCs w:val="21"/>
                    </w:rPr>
                    <w:t>200</w:t>
                  </w:r>
                  <w:r>
                    <w:rPr>
                      <w:rFonts w:eastAsia="宋体"/>
                      <w:color w:val="000000" w:themeColor="text1"/>
                      <w:szCs w:val="21"/>
                    </w:rPr>
                    <w:t>mg/L</w:t>
                  </w:r>
                </w:p>
              </w:tc>
              <w:tc>
                <w:tcPr>
                  <w:tcW w:w="1589" w:type="dxa"/>
                  <w:tcBorders>
                    <w:bottom w:val="single" w:color="auto" w:sz="4" w:space="0"/>
                    <w:right w:val="single" w:color="auto" w:sz="4" w:space="0"/>
                  </w:tcBorders>
                  <w:vAlign w:val="center"/>
                </w:tcPr>
                <w:p>
                  <w:pPr>
                    <w:pStyle w:val="9"/>
                    <w:adjustRightInd w:val="0"/>
                    <w:snapToGrid w:val="0"/>
                    <w:ind w:firstLine="0"/>
                    <w:jc w:val="center"/>
                    <w:rPr>
                      <w:rFonts w:eastAsia="宋体"/>
                      <w:color w:val="000000" w:themeColor="text1"/>
                      <w:szCs w:val="21"/>
                    </w:rPr>
                  </w:pPr>
                  <w:r>
                    <w:rPr>
                      <w:rFonts w:hint="eastAsia" w:eastAsia="宋体"/>
                      <w:color w:val="000000" w:themeColor="text1"/>
                      <w:szCs w:val="21"/>
                    </w:rPr>
                    <w:t>100</w:t>
                  </w:r>
                  <w:r>
                    <w:rPr>
                      <w:rFonts w:eastAsia="宋体"/>
                      <w:color w:val="000000" w:themeColor="text1"/>
                      <w:szCs w:val="21"/>
                    </w:rPr>
                    <w:t>mg/ L</w:t>
                  </w:r>
                </w:p>
              </w:tc>
              <w:tc>
                <w:tcPr>
                  <w:tcW w:w="1632" w:type="dxa"/>
                  <w:tcBorders>
                    <w:bottom w:val="single" w:color="auto" w:sz="4" w:space="0"/>
                  </w:tcBorders>
                  <w:vAlign w:val="center"/>
                </w:tcPr>
                <w:p>
                  <w:pPr>
                    <w:pStyle w:val="9"/>
                    <w:adjustRightInd w:val="0"/>
                    <w:snapToGrid w:val="0"/>
                    <w:ind w:firstLine="0"/>
                    <w:jc w:val="center"/>
                    <w:rPr>
                      <w:rFonts w:eastAsia="宋体"/>
                      <w:color w:val="000000" w:themeColor="text1"/>
                      <w:szCs w:val="21"/>
                    </w:rPr>
                  </w:pPr>
                  <w:r>
                    <w:rPr>
                      <w:rFonts w:hint="eastAsia" w:eastAsia="宋体"/>
                      <w:color w:val="000000" w:themeColor="text1"/>
                      <w:szCs w:val="21"/>
                    </w:rPr>
                    <w:t>100</w:t>
                  </w:r>
                  <w:r>
                    <w:rPr>
                      <w:rFonts w:eastAsia="宋体"/>
                      <w:color w:val="000000" w:themeColor="text1"/>
                      <w:szCs w:val="21"/>
                    </w:rPr>
                    <w:t>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80" w:type="dxa"/>
                  <w:tcBorders>
                    <w:top w:val="single" w:color="auto" w:sz="4" w:space="0"/>
                  </w:tcBorders>
                  <w:vAlign w:val="center"/>
                </w:tcPr>
                <w:p>
                  <w:pPr>
                    <w:pStyle w:val="9"/>
                    <w:adjustRightInd w:val="0"/>
                    <w:snapToGrid w:val="0"/>
                    <w:spacing w:beforeLines="5" w:afterLines="5"/>
                    <w:ind w:firstLine="0"/>
                    <w:jc w:val="center"/>
                    <w:rPr>
                      <w:rFonts w:eastAsia="宋体"/>
                      <w:color w:val="000000" w:themeColor="text1"/>
                      <w:szCs w:val="21"/>
                    </w:rPr>
                  </w:pPr>
                  <w:r>
                    <w:rPr>
                      <w:rFonts w:hAnsi="宋体" w:eastAsia="宋体"/>
                      <w:color w:val="000000" w:themeColor="text1"/>
                      <w:szCs w:val="21"/>
                    </w:rPr>
                    <w:t>达标排放量</w:t>
                  </w:r>
                </w:p>
              </w:tc>
              <w:tc>
                <w:tcPr>
                  <w:tcW w:w="1253" w:type="dxa"/>
                  <w:vMerge w:val="continue"/>
                  <w:vAlign w:val="center"/>
                </w:tcPr>
                <w:p>
                  <w:pPr>
                    <w:pStyle w:val="9"/>
                    <w:adjustRightInd w:val="0"/>
                    <w:snapToGrid w:val="0"/>
                    <w:spacing w:beforeLines="5" w:afterLines="5"/>
                    <w:jc w:val="center"/>
                    <w:rPr>
                      <w:rFonts w:eastAsia="宋体"/>
                      <w:color w:val="000000" w:themeColor="text1"/>
                      <w:szCs w:val="21"/>
                    </w:rPr>
                  </w:pPr>
                </w:p>
              </w:tc>
              <w:tc>
                <w:tcPr>
                  <w:tcW w:w="1584" w:type="dxa"/>
                  <w:tcBorders>
                    <w:top w:val="single" w:color="auto" w:sz="4" w:space="0"/>
                  </w:tcBorders>
                  <w:vAlign w:val="center"/>
                </w:tcPr>
                <w:p>
                  <w:pPr>
                    <w:pStyle w:val="9"/>
                    <w:adjustRightInd w:val="0"/>
                    <w:snapToGrid w:val="0"/>
                    <w:ind w:firstLine="0"/>
                    <w:jc w:val="center"/>
                    <w:rPr>
                      <w:rFonts w:eastAsia="宋体"/>
                      <w:color w:val="000000" w:themeColor="text1"/>
                      <w:szCs w:val="21"/>
                    </w:rPr>
                  </w:pPr>
                  <w:r>
                    <w:rPr>
                      <w:rFonts w:hint="eastAsia"/>
                      <w:color w:val="000000" w:themeColor="text1"/>
                      <w:szCs w:val="21"/>
                    </w:rPr>
                    <w:t>0.173t</w:t>
                  </w:r>
                  <w:r>
                    <w:rPr>
                      <w:color w:val="000000" w:themeColor="text1"/>
                      <w:szCs w:val="21"/>
                    </w:rPr>
                    <w:t>/d</w:t>
                  </w:r>
                </w:p>
              </w:tc>
              <w:tc>
                <w:tcPr>
                  <w:tcW w:w="1589" w:type="dxa"/>
                  <w:tcBorders>
                    <w:top w:val="single" w:color="auto" w:sz="4" w:space="0"/>
                    <w:right w:val="single" w:color="auto" w:sz="4" w:space="0"/>
                  </w:tcBorders>
                  <w:vAlign w:val="center"/>
                </w:tcPr>
                <w:p>
                  <w:pPr>
                    <w:pStyle w:val="9"/>
                    <w:adjustRightInd w:val="0"/>
                    <w:snapToGrid w:val="0"/>
                    <w:ind w:firstLine="0"/>
                    <w:jc w:val="center"/>
                    <w:rPr>
                      <w:rFonts w:eastAsia="宋体"/>
                      <w:color w:val="000000" w:themeColor="text1"/>
                      <w:szCs w:val="21"/>
                    </w:rPr>
                  </w:pPr>
                  <w:r>
                    <w:rPr>
                      <w:rFonts w:hint="eastAsia"/>
                      <w:color w:val="000000" w:themeColor="text1"/>
                      <w:szCs w:val="21"/>
                    </w:rPr>
                    <w:t>0.086t</w:t>
                  </w:r>
                  <w:r>
                    <w:rPr>
                      <w:color w:val="000000" w:themeColor="text1"/>
                      <w:szCs w:val="21"/>
                    </w:rPr>
                    <w:t>/d</w:t>
                  </w:r>
                </w:p>
              </w:tc>
              <w:tc>
                <w:tcPr>
                  <w:tcW w:w="1632" w:type="dxa"/>
                  <w:tcBorders>
                    <w:top w:val="single" w:color="auto" w:sz="4" w:space="0"/>
                  </w:tcBorders>
                  <w:vAlign w:val="center"/>
                </w:tcPr>
                <w:p>
                  <w:pPr>
                    <w:pStyle w:val="9"/>
                    <w:adjustRightInd w:val="0"/>
                    <w:snapToGrid w:val="0"/>
                    <w:ind w:firstLine="0"/>
                    <w:jc w:val="center"/>
                    <w:rPr>
                      <w:rFonts w:eastAsia="宋体"/>
                      <w:color w:val="000000" w:themeColor="text1"/>
                      <w:szCs w:val="21"/>
                    </w:rPr>
                  </w:pPr>
                  <w:r>
                    <w:rPr>
                      <w:rFonts w:hint="eastAsia"/>
                      <w:color w:val="000000" w:themeColor="text1"/>
                      <w:szCs w:val="21"/>
                    </w:rPr>
                    <w:t>0.086t</w:t>
                  </w:r>
                  <w:r>
                    <w:rPr>
                      <w:color w:val="000000" w:themeColor="text1"/>
                      <w:szCs w:val="21"/>
                    </w:rPr>
                    <w:t>/d</w:t>
                  </w:r>
                </w:p>
              </w:tc>
            </w:tr>
          </w:tbl>
          <w:p>
            <w:pPr>
              <w:spacing w:line="360" w:lineRule="auto"/>
              <w:ind w:firstLine="480" w:firstLineChars="200"/>
              <w:rPr>
                <w:rFonts w:ascii="Times New Roman" w:hAnsi="宋体"/>
                <w:bCs/>
                <w:color w:val="000000" w:themeColor="text1"/>
                <w:sz w:val="24"/>
                <w:szCs w:val="24"/>
              </w:rPr>
            </w:pPr>
            <w:r>
              <w:rPr>
                <w:rFonts w:ascii="Times New Roman" w:hAnsi="宋体"/>
                <w:bCs/>
                <w:color w:val="000000" w:themeColor="text1"/>
                <w:sz w:val="24"/>
                <w:szCs w:val="24"/>
              </w:rPr>
              <w:t>生活污水建议采用如下污水处理工艺：</w:t>
            </w:r>
          </w:p>
          <w:p>
            <w:pPr>
              <w:spacing w:line="360" w:lineRule="auto"/>
              <w:ind w:firstLine="480" w:firstLineChars="200"/>
              <w:jc w:val="left"/>
              <w:rPr>
                <w:rFonts w:ascii="Times New Roman" w:hAnsi="Times New Roman"/>
                <w:color w:val="000000" w:themeColor="text1"/>
                <w:sz w:val="24"/>
                <w:szCs w:val="24"/>
              </w:rPr>
            </w:pPr>
            <w:r>
              <w:rPr>
                <w:rFonts w:ascii="Times New Roman" w:hAnsi="Times New Roman"/>
                <w:color w:val="000000" w:themeColor="text1"/>
                <w:sz w:val="24"/>
                <w:szCs w:val="24"/>
              </w:rPr>
              <w:pict>
                <v:shape id="_x0000_i1027" o:spt="75" type="#_x0000_t75" style="height:106.5pt;width:384.75pt;" filled="f" o:preferrelative="t" stroked="f" coordsize="21600,21600">
                  <v:path/>
                  <v:fill on="f" focussize="0,0"/>
                  <v:stroke on="f" joinstyle="miter"/>
                  <v:imagedata r:id="rId16" o:title=""/>
                  <o:lock v:ext="edit" aspectratio="t"/>
                  <w10:wrap type="none"/>
                  <w10:anchorlock/>
                </v:shape>
              </w:pict>
            </w:r>
          </w:p>
          <w:p>
            <w:pPr>
              <w:adjustRightInd w:val="0"/>
              <w:snapToGrid w:val="0"/>
              <w:spacing w:beforeLines="50" w:line="360" w:lineRule="auto"/>
              <w:ind w:firstLine="480" w:firstLineChars="200"/>
              <w:rPr>
                <w:rFonts w:ascii="Times New Roman" w:hAnsi="宋体"/>
                <w:color w:val="000000" w:themeColor="text1"/>
                <w:sz w:val="24"/>
                <w:szCs w:val="24"/>
              </w:rPr>
            </w:pPr>
            <w:r>
              <w:rPr>
                <w:rFonts w:ascii="Times New Roman" w:hAnsi="宋体"/>
                <w:color w:val="000000" w:themeColor="text1"/>
                <w:sz w:val="24"/>
                <w:szCs w:val="24"/>
              </w:rPr>
              <w:t>根据以上工艺流程可知，项目生活污水处理装置采用具有脱氮除磷功能的厌氧</w:t>
            </w:r>
            <w:r>
              <w:rPr>
                <w:rFonts w:ascii="Times New Roman" w:hAnsi="Times New Roman"/>
                <w:color w:val="000000" w:themeColor="text1"/>
                <w:sz w:val="24"/>
                <w:szCs w:val="24"/>
              </w:rPr>
              <w:t>—</w:t>
            </w:r>
            <w:r>
              <w:rPr>
                <w:rFonts w:ascii="Times New Roman" w:hAnsi="宋体"/>
                <w:color w:val="000000" w:themeColor="text1"/>
                <w:sz w:val="24"/>
                <w:szCs w:val="24"/>
              </w:rPr>
              <w:t>缺氧水解</w:t>
            </w:r>
            <w:r>
              <w:rPr>
                <w:rFonts w:ascii="Times New Roman" w:hAnsi="Times New Roman"/>
                <w:color w:val="000000" w:themeColor="text1"/>
                <w:sz w:val="24"/>
                <w:szCs w:val="24"/>
              </w:rPr>
              <w:t>—</w:t>
            </w:r>
            <w:r>
              <w:rPr>
                <w:rFonts w:ascii="Times New Roman" w:hAnsi="宋体"/>
                <w:color w:val="000000" w:themeColor="text1"/>
                <w:sz w:val="24"/>
                <w:szCs w:val="24"/>
              </w:rPr>
              <w:t>接触氧化（</w:t>
            </w:r>
            <w:r>
              <w:rPr>
                <w:rFonts w:ascii="Times New Roman" w:hAnsi="Times New Roman"/>
                <w:color w:val="000000" w:themeColor="text1"/>
                <w:sz w:val="24"/>
                <w:szCs w:val="24"/>
              </w:rPr>
              <w:t>A</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/O</w:t>
            </w:r>
            <w:r>
              <w:rPr>
                <w:rFonts w:ascii="Times New Roman" w:hAnsi="宋体"/>
                <w:color w:val="000000" w:themeColor="text1"/>
                <w:sz w:val="24"/>
                <w:szCs w:val="24"/>
              </w:rPr>
              <w:t>或</w:t>
            </w:r>
            <w:r>
              <w:rPr>
                <w:rFonts w:ascii="Times New Roman" w:hAnsi="Times New Roman"/>
                <w:color w:val="000000" w:themeColor="text1"/>
                <w:sz w:val="24"/>
                <w:szCs w:val="24"/>
              </w:rPr>
              <w:t>A/A/O</w:t>
            </w:r>
            <w:r>
              <w:rPr>
                <w:rFonts w:ascii="Times New Roman" w:hAnsi="宋体"/>
                <w:color w:val="000000" w:themeColor="text1"/>
                <w:sz w:val="24"/>
                <w:szCs w:val="24"/>
              </w:rPr>
              <w:t>）处理工艺，</w:t>
            </w:r>
            <w:r>
              <w:rPr>
                <w:rFonts w:ascii="Times New Roman" w:hAnsi="宋体"/>
                <w:bCs/>
                <w:color w:val="000000" w:themeColor="text1"/>
                <w:sz w:val="24"/>
                <w:szCs w:val="24"/>
              </w:rPr>
              <w:t>此污水设施工艺具有处理效果好，出水稳定达标的特点。根据相关工程经验，正常运作的条件下，出水可稳定达标，工艺是可行的，能</w:t>
            </w:r>
            <w:r>
              <w:rPr>
                <w:rFonts w:ascii="Times New Roman" w:hAnsi="宋体"/>
                <w:color w:val="000000" w:themeColor="text1"/>
                <w:sz w:val="24"/>
                <w:szCs w:val="24"/>
              </w:rPr>
              <w:t>确保生活污水出水水质达标后排放。</w:t>
            </w:r>
          </w:p>
          <w:p>
            <w:pPr>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项目产生的生活污水经</w:t>
            </w:r>
            <w:r>
              <w:rPr>
                <w:rFonts w:hint="eastAsia" w:ascii="Times New Roman" w:hAnsi="Times New Roman"/>
                <w:color w:val="000000" w:themeColor="text1"/>
                <w:sz w:val="24"/>
                <w:szCs w:val="24"/>
              </w:rPr>
              <w:t>自建</w:t>
            </w:r>
            <w:r>
              <w:rPr>
                <w:rFonts w:ascii="Times New Roman" w:hAnsi="Times New Roman"/>
                <w:color w:val="000000" w:themeColor="text1"/>
                <w:sz w:val="24"/>
                <w:szCs w:val="24"/>
              </w:rPr>
              <w:t>化粪池</w:t>
            </w:r>
            <w:r>
              <w:rPr>
                <w:rFonts w:hint="eastAsia" w:ascii="Times New Roman" w:hAnsi="Times New Roman"/>
                <w:color w:val="000000" w:themeColor="text1"/>
                <w:sz w:val="24"/>
                <w:szCs w:val="24"/>
              </w:rPr>
              <w:t>及生活污水处理装置处理达到《农田灌溉水质标准》（GB5084-2005）中相应标准</w:t>
            </w:r>
            <w:r>
              <w:rPr>
                <w:rFonts w:ascii="Times New Roman" w:hAnsi="Times New Roman"/>
                <w:color w:val="000000" w:themeColor="text1"/>
                <w:sz w:val="24"/>
                <w:szCs w:val="24"/>
              </w:rPr>
              <w:t>后，</w:t>
            </w:r>
            <w:r>
              <w:rPr>
                <w:rFonts w:hint="eastAsia" w:ascii="Times New Roman" w:hAnsi="Times New Roman"/>
                <w:color w:val="000000" w:themeColor="text1"/>
                <w:sz w:val="24"/>
                <w:szCs w:val="24"/>
              </w:rPr>
              <w:t>用于附近农田灌溉用水，实现废水零排放。</w:t>
            </w:r>
          </w:p>
          <w:p>
            <w:pPr>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2、大气环境影响分析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w:t>
            </w:r>
            <w:r>
              <w:rPr>
                <w:rFonts w:ascii="Times New Roman" w:hAnsi="宋体"/>
                <w:color w:val="000000"/>
                <w:sz w:val="24"/>
                <w:szCs w:val="24"/>
              </w:rPr>
              <w:t>粉尘</w:t>
            </w:r>
            <w:r>
              <w:rPr>
                <w:rFonts w:ascii="Times New Roman" w:hAnsi="宋体"/>
                <w:b/>
                <w:color w:val="000000"/>
                <w:sz w:val="24"/>
                <w:szCs w:val="24"/>
              </w:rPr>
              <w:t>：</w:t>
            </w:r>
            <w:r>
              <w:rPr>
                <w:rFonts w:ascii="Times New Roman" w:hAnsi="宋体"/>
                <w:color w:val="000000"/>
                <w:sz w:val="24"/>
                <w:szCs w:val="24"/>
              </w:rPr>
              <w:t>根据工程分析，</w:t>
            </w:r>
            <w:r>
              <w:rPr>
                <w:rFonts w:ascii="Times New Roman" w:hAnsi="Times New Roman"/>
                <w:color w:val="000000"/>
                <w:sz w:val="24"/>
                <w:szCs w:val="24"/>
              </w:rPr>
              <w:t>本项目产生废气主要为粉尘，主要污染因子为颗粒物，其中较小的粉尘能被吸入人的支气管和肺泡中，并沉积下来，引起或加重呼吸系统的疾病，颗粒较大的粉尘，会干扰太阳和地面的辐射，从而对地区性气候发生影响。</w:t>
            </w:r>
          </w:p>
          <w:p>
            <w:pPr>
              <w:spacing w:line="360" w:lineRule="auto"/>
              <w:ind w:firstLine="480" w:firstLineChars="200"/>
              <w:rPr>
                <w:rFonts w:ascii="Times New Roman" w:hAnsi="Times New Roman"/>
                <w:bCs/>
                <w:color w:val="FF0000"/>
                <w:sz w:val="24"/>
              </w:rPr>
            </w:pPr>
            <w:r>
              <w:rPr>
                <w:rFonts w:hint="eastAsia" w:ascii="Times New Roman" w:hAnsi="Times New Roman"/>
                <w:color w:val="FF0000"/>
                <w:sz w:val="24"/>
                <w:szCs w:val="24"/>
              </w:rPr>
              <w:t>本环评建议建设单位在</w:t>
            </w:r>
            <w:r>
              <w:rPr>
                <w:rFonts w:ascii="Times New Roman" w:hAnsi="Times New Roman"/>
                <w:color w:val="FF0000"/>
                <w:sz w:val="24"/>
                <w:szCs w:val="24"/>
              </w:rPr>
              <w:t>水泥</w:t>
            </w:r>
            <w:r>
              <w:rPr>
                <w:rFonts w:hint="eastAsia" w:ascii="Times New Roman" w:hAnsi="Times New Roman"/>
                <w:color w:val="FF0000"/>
                <w:sz w:val="24"/>
                <w:szCs w:val="24"/>
              </w:rPr>
              <w:t>、粉煤灰</w:t>
            </w:r>
            <w:r>
              <w:rPr>
                <w:rFonts w:ascii="Times New Roman" w:hAnsi="Times New Roman"/>
                <w:bCs/>
                <w:color w:val="FF0000"/>
                <w:sz w:val="24"/>
              </w:rPr>
              <w:t>筒库安装旋风+布袋除尘器使筒库中的粉尘不外溢，筒库粉尘排放浓度为</w:t>
            </w:r>
            <w:r>
              <w:rPr>
                <w:rFonts w:hint="eastAsia" w:ascii="Times New Roman" w:hAnsi="Times New Roman"/>
                <w:bCs/>
                <w:color w:val="FF0000"/>
                <w:sz w:val="24"/>
              </w:rPr>
              <w:t>4.79</w:t>
            </w:r>
            <w:r>
              <w:rPr>
                <w:rFonts w:ascii="Times New Roman" w:hAnsi="Times New Roman"/>
                <w:bCs/>
                <w:color w:val="FF0000"/>
                <w:sz w:val="24"/>
              </w:rPr>
              <w:t>mg/m</w:t>
            </w:r>
            <w:r>
              <w:rPr>
                <w:rFonts w:ascii="Times New Roman" w:hAnsi="Times New Roman"/>
                <w:bCs/>
                <w:color w:val="FF0000"/>
                <w:sz w:val="24"/>
                <w:vertAlign w:val="superscript"/>
              </w:rPr>
              <w:t>3</w:t>
            </w:r>
            <w:r>
              <w:rPr>
                <w:rFonts w:ascii="Times New Roman" w:hAnsi="Times New Roman"/>
                <w:bCs/>
                <w:color w:val="FF0000"/>
                <w:sz w:val="24"/>
              </w:rPr>
              <w:t>，可以满足</w:t>
            </w:r>
            <w:r>
              <w:rPr>
                <w:rFonts w:ascii="Times New Roman" w:hAnsi="Times New Roman"/>
                <w:color w:val="FF0000"/>
                <w:sz w:val="24"/>
              </w:rPr>
              <w:t>《水泥工业大气污染物排放标准》（GB 4915－2013）水泥制品生产颗粒物排放浓度限值</w:t>
            </w:r>
            <w:r>
              <w:rPr>
                <w:rFonts w:ascii="Times New Roman" w:hAnsi="Times New Roman"/>
                <w:color w:val="FF0000"/>
                <w:sz w:val="24"/>
                <w:szCs w:val="24"/>
              </w:rPr>
              <w:t>的要求。</w:t>
            </w:r>
          </w:p>
          <w:p>
            <w:pPr>
              <w:spacing w:line="360" w:lineRule="auto"/>
              <w:ind w:firstLine="480" w:firstLineChars="200"/>
              <w:rPr>
                <w:rFonts w:ascii="Times New Roman" w:hAnsi="Times New Roman"/>
                <w:color w:val="000000"/>
                <w:sz w:val="24"/>
                <w:szCs w:val="24"/>
              </w:rPr>
            </w:pPr>
            <w:r>
              <w:rPr>
                <w:rFonts w:ascii="Times New Roman" w:hAnsi="Times New Roman"/>
                <w:bCs/>
                <w:color w:val="FF0000"/>
                <w:sz w:val="24"/>
              </w:rPr>
              <w:t>项目其余粉尘均为无组织排放，</w:t>
            </w:r>
            <w:r>
              <w:rPr>
                <w:rFonts w:ascii="Times New Roman" w:hAnsi="Times New Roman"/>
                <w:color w:val="FF0000"/>
                <w:sz w:val="24"/>
              </w:rPr>
              <w:t>项目现应采取了定期派专人进行路面清扫、洒水等措施抑尘，</w:t>
            </w:r>
            <w:r>
              <w:rPr>
                <w:rFonts w:ascii="Times New Roman" w:hAnsi="Times New Roman"/>
                <w:color w:val="000000"/>
                <w:sz w:val="24"/>
              </w:rPr>
              <w:t>项目合计粉尘排放量3.624t/a，</w:t>
            </w:r>
            <w:r>
              <w:rPr>
                <w:rFonts w:ascii="Times New Roman" w:hAnsi="Times New Roman"/>
                <w:color w:val="000000"/>
                <w:sz w:val="24"/>
                <w:szCs w:val="24"/>
              </w:rPr>
              <w:t>即</w:t>
            </w:r>
            <w:r>
              <w:rPr>
                <w:rFonts w:hint="eastAsia" w:ascii="Times New Roman" w:hAnsi="Times New Roman"/>
                <w:color w:val="000000"/>
                <w:sz w:val="24"/>
                <w:szCs w:val="24"/>
              </w:rPr>
              <w:t>1.51</w:t>
            </w:r>
            <w:r>
              <w:rPr>
                <w:rFonts w:ascii="Times New Roman" w:hAnsi="Times New Roman"/>
                <w:color w:val="000000"/>
                <w:sz w:val="24"/>
                <w:szCs w:val="24"/>
              </w:rPr>
              <w:t>kg/h，运用</w:t>
            </w:r>
            <w:r>
              <w:rPr>
                <w:rFonts w:ascii="Times New Roman" w:hAnsi="Times New Roman"/>
                <w:color w:val="000000"/>
                <w:sz w:val="24"/>
              </w:rPr>
              <w:t>《环境影响评价技术导则  大气环境（HJ2.2—200</w:t>
            </w:r>
            <w:r>
              <w:rPr>
                <w:rFonts w:ascii="Times New Roman" w:hAnsi="Times New Roman"/>
                <w:color w:val="000000"/>
                <w:sz w:val="24"/>
                <w:szCs w:val="24"/>
              </w:rPr>
              <w:t>8）》推荐的SCREEN3估算模式进行预测，</w:t>
            </w:r>
            <w:r>
              <w:rPr>
                <w:rFonts w:hint="eastAsia" w:ascii="Times New Roman" w:hAnsi="Times New Roman"/>
                <w:color w:val="000000"/>
                <w:sz w:val="24"/>
                <w:szCs w:val="24"/>
              </w:rPr>
              <w:t>预测结果如下图：</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pict>
                <v:shape id="_x0000_i1028" o:spt="75" type="#_x0000_t75" style="height:241.5pt;width:354.75pt;" filled="f" o:preferrelative="t" stroked="f" coordsize="21600,21600">
                  <v:path/>
                  <v:fill on="f" focussize="0,0"/>
                  <v:stroke on="f" joinstyle="miter"/>
                  <v:imagedata r:id="rId17" o:title=""/>
                  <o:lock v:ext="edit" aspectratio="t"/>
                  <w10:wrap type="none"/>
                  <w10:anchorlock/>
                </v:shape>
              </w:pict>
            </w:r>
          </w:p>
          <w:p>
            <w:pPr>
              <w:spacing w:line="348" w:lineRule="auto"/>
              <w:ind w:firstLine="480" w:firstLineChars="200"/>
              <w:rPr>
                <w:rFonts w:ascii="Times New Roman" w:hAnsi="Times New Roman"/>
                <w:color w:val="FF0000"/>
                <w:sz w:val="24"/>
                <w:szCs w:val="24"/>
              </w:rPr>
            </w:pPr>
            <w:r>
              <w:rPr>
                <w:rFonts w:ascii="Times New Roman" w:hAnsi="Times New Roman"/>
                <w:color w:val="000000"/>
                <w:sz w:val="24"/>
                <w:szCs w:val="24"/>
              </w:rPr>
              <w:t>项目边界外20米处颗粒物浓度值为</w:t>
            </w:r>
            <w:r>
              <w:rPr>
                <w:rFonts w:hint="eastAsia" w:ascii="Times New Roman" w:hAnsi="Times New Roman"/>
                <w:color w:val="000000"/>
                <w:sz w:val="24"/>
                <w:szCs w:val="24"/>
              </w:rPr>
              <w:t>0.31</w:t>
            </w:r>
            <w:r>
              <w:rPr>
                <w:rFonts w:ascii="Times New Roman" w:hAnsi="Times New Roman"/>
                <w:color w:val="000000"/>
                <w:spacing w:val="-8"/>
                <w:sz w:val="24"/>
                <w:szCs w:val="24"/>
              </w:rPr>
              <w:t>mg/m</w:t>
            </w:r>
            <w:r>
              <w:rPr>
                <w:rFonts w:ascii="Times New Roman" w:hAnsi="Times New Roman"/>
                <w:color w:val="000000"/>
                <w:spacing w:val="-8"/>
                <w:sz w:val="24"/>
                <w:szCs w:val="24"/>
                <w:vertAlign w:val="superscript"/>
              </w:rPr>
              <w:t>3</w:t>
            </w:r>
            <w:r>
              <w:rPr>
                <w:rFonts w:ascii="Times New Roman" w:hAnsi="Times New Roman"/>
                <w:bCs/>
                <w:color w:val="000000"/>
                <w:sz w:val="24"/>
                <w:szCs w:val="24"/>
              </w:rPr>
              <w:t>，</w:t>
            </w:r>
            <w:r>
              <w:rPr>
                <w:rFonts w:ascii="Times New Roman" w:hAnsi="Times New Roman"/>
                <w:bCs/>
                <w:color w:val="000000"/>
                <w:sz w:val="24"/>
              </w:rPr>
              <w:t>满足</w:t>
            </w:r>
            <w:r>
              <w:rPr>
                <w:rFonts w:ascii="Times New Roman" w:hAnsi="Times New Roman"/>
                <w:color w:val="000000"/>
                <w:sz w:val="24"/>
              </w:rPr>
              <w:t>《水泥工业大气污染物排放标准》（GB 4915－2013）水泥制品生产厂界无组织排放限值</w:t>
            </w:r>
            <w:r>
              <w:rPr>
                <w:rFonts w:ascii="Times New Roman" w:hAnsi="Times New Roman"/>
                <w:color w:val="000000"/>
                <w:sz w:val="24"/>
                <w:szCs w:val="24"/>
              </w:rPr>
              <w:t>的要求，对周围环境的影响可以接受。</w:t>
            </w:r>
            <w:r>
              <w:rPr>
                <w:rFonts w:ascii="Times New Roman"/>
                <w:bCs/>
                <w:color w:val="FF0000"/>
                <w:sz w:val="24"/>
              </w:rPr>
              <w:t>此外建设单位还</w:t>
            </w:r>
            <w:r>
              <w:rPr>
                <w:rFonts w:ascii="Times New Roman"/>
                <w:color w:val="FF0000"/>
                <w:sz w:val="24"/>
              </w:rPr>
              <w:t>要加强物料运输和装卸管理；文明装卸；对于装运含粉尘的运输车辆应加盖篷布，严格控制物料的洒落；物料输送采用封闭式输送带；加强绿化；定时站内清扫、洒水；建立健全科学的操作规</w:t>
            </w:r>
            <w:r>
              <w:rPr>
                <w:rFonts w:ascii="Times New Roman"/>
                <w:color w:val="FF0000"/>
                <w:sz w:val="24"/>
                <w:szCs w:val="24"/>
              </w:rPr>
              <w:t>程和制度。采取以上措施，排放的粉尘能达到达到《水泥工业大气污染物排放标准》（</w:t>
            </w:r>
            <w:r>
              <w:rPr>
                <w:rFonts w:ascii="Times New Roman" w:hAnsi="Times New Roman"/>
                <w:color w:val="FF0000"/>
                <w:sz w:val="24"/>
                <w:szCs w:val="24"/>
              </w:rPr>
              <w:t>GB 4915-2013</w:t>
            </w:r>
            <w:r>
              <w:rPr>
                <w:rFonts w:ascii="Times New Roman"/>
                <w:color w:val="FF0000"/>
                <w:sz w:val="24"/>
                <w:szCs w:val="24"/>
              </w:rPr>
              <w:t>）的要求，对周围的环境空气质量影响不大。</w:t>
            </w:r>
          </w:p>
          <w:p>
            <w:pPr>
              <w:spacing w:line="360" w:lineRule="auto"/>
              <w:ind w:firstLine="480" w:firstLineChars="200"/>
              <w:rPr>
                <w:rFonts w:ascii="Times New Roman" w:hAnsi="Times New Roman"/>
                <w:b/>
                <w:color w:val="000000"/>
                <w:sz w:val="24"/>
              </w:rPr>
            </w:pPr>
            <w:r>
              <w:rPr>
                <w:rFonts w:hint="eastAsia" w:ascii="Times New Roman" w:hAnsi="Times New Roman"/>
                <w:color w:val="000000"/>
                <w:sz w:val="24"/>
              </w:rPr>
              <w:t>（2）汽车尾气：</w:t>
            </w:r>
            <w:r>
              <w:rPr>
                <w:rFonts w:hint="eastAsia" w:ascii="Times New Roman" w:hAnsi="Times New Roman"/>
                <w:color w:val="000000"/>
                <w:sz w:val="24"/>
                <w:szCs w:val="24"/>
              </w:rPr>
              <w:t>项目汽车在场地内运输会产生一定量的汽车尾气，主要污染主要污染物有CO、NOx、THC。</w:t>
            </w:r>
            <w:r>
              <w:rPr>
                <w:rFonts w:hint="eastAsia"/>
                <w:color w:val="000000"/>
                <w:sz w:val="24"/>
              </w:rPr>
              <w:t>项目应加强管理，加强机动车的检测与维修，禁止使用尾气污染物超标排放的机动车；禁止车辆怠速运转。</w:t>
            </w:r>
            <w:r>
              <w:rPr>
                <w:rFonts w:hint="eastAsia" w:ascii="Times New Roman" w:hAnsi="Times New Roman"/>
                <w:color w:val="000000"/>
                <w:sz w:val="24"/>
                <w:szCs w:val="24"/>
              </w:rPr>
              <w:t>这些废气的产生量不大，影响范围有限，可以认为其环境影响较小，可以接受。</w:t>
            </w:r>
          </w:p>
          <w:p>
            <w:pPr>
              <w:spacing w:line="360" w:lineRule="auto"/>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（3）</w:t>
            </w:r>
            <w:r>
              <w:rPr>
                <w:rFonts w:ascii="Times New Roman" w:hAnsi="Times New Roman"/>
                <w:color w:val="000000" w:themeColor="text1"/>
                <w:sz w:val="24"/>
                <w:szCs w:val="24"/>
              </w:rPr>
              <w:t>油烟废气：项目食堂在烹饪过程中产生一定的油烟</w:t>
            </w:r>
            <w:r>
              <w:rPr>
                <w:rFonts w:hint="eastAsia" w:ascii="Times New Roman" w:hAnsi="Times New Roman"/>
                <w:color w:val="000000" w:themeColor="text1"/>
                <w:sz w:val="24"/>
                <w:szCs w:val="24"/>
              </w:rPr>
              <w:t>，其</w:t>
            </w:r>
            <w:r>
              <w:rPr>
                <w:rFonts w:ascii="Times New Roman" w:hAnsi="Times New Roman"/>
                <w:color w:val="000000" w:themeColor="text1"/>
                <w:sz w:val="24"/>
                <w:szCs w:val="24"/>
              </w:rPr>
              <w:t>产生浓度为1.5mg/m</w:t>
            </w:r>
            <w:r>
              <w:rPr>
                <w:rFonts w:ascii="Times New Roman" w:hAnsi="Times New Roman"/>
                <w:color w:val="000000" w:themeColor="text1"/>
                <w:sz w:val="24"/>
                <w:szCs w:val="24"/>
                <w:vertAlign w:val="superscript"/>
              </w:rPr>
              <w:t>3</w:t>
            </w:r>
            <w:r>
              <w:rPr>
                <w:rFonts w:hint="eastAsia" w:ascii="Times New Roman" w:hAnsi="Times New Roman"/>
                <w:color w:val="000000" w:themeColor="text1"/>
                <w:sz w:val="24"/>
                <w:szCs w:val="24"/>
              </w:rPr>
              <w:t>，建议</w:t>
            </w:r>
            <w:r>
              <w:rPr>
                <w:rFonts w:ascii="Times New Roman" w:hAnsi="Times New Roman"/>
                <w:color w:val="000000" w:themeColor="text1"/>
                <w:sz w:val="24"/>
                <w:szCs w:val="24"/>
              </w:rPr>
              <w:t>项目油烟经</w:t>
            </w:r>
            <w:r>
              <w:rPr>
                <w:rFonts w:hint="eastAsia" w:ascii="Times New Roman" w:hAnsi="Times New Roman"/>
                <w:color w:val="000000" w:themeColor="text1"/>
                <w:sz w:val="24"/>
                <w:szCs w:val="24"/>
              </w:rPr>
              <w:t>油烟</w:t>
            </w:r>
            <w:r>
              <w:rPr>
                <w:rFonts w:ascii="Times New Roman" w:hAnsi="Times New Roman"/>
                <w:color w:val="000000" w:themeColor="text1"/>
                <w:sz w:val="24"/>
                <w:szCs w:val="24"/>
              </w:rPr>
              <w:t>净化装置处理达标后经专门管道高空排放，</w:t>
            </w:r>
            <w:r>
              <w:rPr>
                <w:rFonts w:hint="eastAsia" w:ascii="Times New Roman" w:hAnsi="Times New Roman"/>
                <w:color w:val="000000" w:themeColor="text1"/>
                <w:sz w:val="24"/>
                <w:szCs w:val="24"/>
              </w:rPr>
              <w:t>油烟净化器处理效率为90%，则项目油烟排放浓度为0.15</w:t>
            </w:r>
            <w:r>
              <w:rPr>
                <w:rFonts w:ascii="Times New Roman" w:hAnsi="Times New Roman"/>
                <w:color w:val="000000" w:themeColor="text1"/>
                <w:sz w:val="24"/>
                <w:szCs w:val="24"/>
              </w:rPr>
              <w:t xml:space="preserve"> mg/m</w:t>
            </w:r>
            <w:r>
              <w:rPr>
                <w:rFonts w:ascii="Times New Roman" w:hAnsi="Times New Roman"/>
                <w:color w:val="000000" w:themeColor="text1"/>
                <w:sz w:val="24"/>
                <w:szCs w:val="24"/>
                <w:vertAlign w:val="superscript"/>
              </w:rPr>
              <w:t>3</w:t>
            </w:r>
            <w:r>
              <w:rPr>
                <w:rFonts w:hint="eastAsia" w:ascii="Times New Roman" w:hAnsi="Times New Roman"/>
                <w:color w:val="000000" w:themeColor="text1"/>
                <w:sz w:val="24"/>
                <w:szCs w:val="24"/>
              </w:rPr>
              <w:t>，</w:t>
            </w:r>
            <w:r>
              <w:rPr>
                <w:rFonts w:ascii="Times New Roman" w:hAnsi="Times New Roman"/>
                <w:color w:val="000000" w:themeColor="text1"/>
                <w:sz w:val="24"/>
                <w:szCs w:val="24"/>
              </w:rPr>
              <w:t>符合GB18483-2001《饮食业油烟排放标准》的要求</w:t>
            </w:r>
            <w:r>
              <w:rPr>
                <w:rFonts w:hint="eastAsia" w:ascii="Times New Roman" w:hAnsi="Times New Roman"/>
                <w:color w:val="000000" w:themeColor="text1"/>
                <w:sz w:val="24"/>
                <w:szCs w:val="24"/>
              </w:rPr>
              <w:t xml:space="preserve">。 </w:t>
            </w:r>
          </w:p>
          <w:p>
            <w:pPr>
              <w:snapToGrid w:val="0"/>
              <w:spacing w:line="353" w:lineRule="auto"/>
              <w:ind w:firstLine="480" w:firstLineChars="200"/>
              <w:rPr>
                <w:rFonts w:ascii="Times New Roman" w:hAnsi="宋体"/>
                <w:color w:val="000000" w:themeColor="text1"/>
                <w:sz w:val="24"/>
                <w:szCs w:val="24"/>
              </w:rPr>
            </w:pPr>
            <w:r>
              <w:rPr>
                <w:rFonts w:hint="eastAsia" w:ascii="Times New Roman" w:hAnsi="Times New Roman"/>
                <w:color w:val="000000" w:themeColor="text1"/>
                <w:sz w:val="24"/>
                <w:szCs w:val="24"/>
              </w:rPr>
              <w:t>（4）发电机废气：</w:t>
            </w:r>
            <w:r>
              <w:rPr>
                <w:rFonts w:ascii="Times New Roman" w:hAnsi="宋体"/>
                <w:color w:val="000000" w:themeColor="text1"/>
                <w:sz w:val="24"/>
                <w:szCs w:val="24"/>
              </w:rPr>
              <w:t>项目设有</w:t>
            </w:r>
            <w:r>
              <w:rPr>
                <w:rFonts w:hint="eastAsia" w:ascii="Times New Roman" w:hAnsi="Times New Roman"/>
                <w:color w:val="000000" w:themeColor="text1"/>
                <w:sz w:val="24"/>
                <w:szCs w:val="24"/>
              </w:rPr>
              <w:t>1</w:t>
            </w:r>
            <w:r>
              <w:rPr>
                <w:rFonts w:ascii="Times New Roman" w:hAnsi="宋体"/>
                <w:color w:val="000000" w:themeColor="text1"/>
                <w:sz w:val="24"/>
                <w:szCs w:val="24"/>
              </w:rPr>
              <w:t>台备用发电机，功率为</w:t>
            </w:r>
            <w:r>
              <w:rPr>
                <w:rFonts w:hint="eastAsia" w:ascii="Times New Roman" w:hAnsi="Times New Roman"/>
                <w:color w:val="000000" w:themeColor="text1"/>
                <w:sz w:val="24"/>
                <w:szCs w:val="24"/>
              </w:rPr>
              <w:t>320</w:t>
            </w:r>
            <w:r>
              <w:rPr>
                <w:rFonts w:ascii="Times New Roman" w:hAnsi="Times New Roman"/>
                <w:color w:val="000000" w:themeColor="text1"/>
                <w:sz w:val="24"/>
                <w:szCs w:val="24"/>
              </w:rPr>
              <w:t>KW</w:t>
            </w:r>
            <w:r>
              <w:rPr>
                <w:rFonts w:ascii="Times New Roman" w:hAnsi="宋体"/>
                <w:color w:val="000000" w:themeColor="text1"/>
                <w:sz w:val="24"/>
                <w:szCs w:val="24"/>
              </w:rPr>
              <w:t>，仅供停电时使用。由于备用发电机不是经常使用的设备，所以其影响是暂时性的。在采用高效率燃油发电机，使用轻柴油作为燃料，废气排放口设置在楼顶，安装柴油颗粒捕集器对烟气进行处理的情况下，发电机燃油废气中</w:t>
            </w:r>
            <w:r>
              <w:rPr>
                <w:rFonts w:ascii="Times New Roman" w:hAnsi="Times New Roman"/>
                <w:color w:val="000000" w:themeColor="text1"/>
                <w:sz w:val="24"/>
                <w:szCs w:val="24"/>
              </w:rPr>
              <w:t>SO</w:t>
            </w:r>
            <w:r>
              <w:rPr>
                <w:rFonts w:ascii="Times New Roman" w:hAnsi="Times New Roman"/>
                <w:color w:val="000000" w:themeColor="text1"/>
                <w:sz w:val="24"/>
                <w:szCs w:val="24"/>
                <w:vertAlign w:val="subscript"/>
              </w:rPr>
              <w:t>2</w:t>
            </w:r>
            <w:r>
              <w:rPr>
                <w:rFonts w:ascii="Times New Roman" w:hAnsi="宋体"/>
                <w:color w:val="000000" w:themeColor="text1"/>
                <w:sz w:val="24"/>
                <w:szCs w:val="24"/>
              </w:rPr>
              <w:t>、</w:t>
            </w:r>
            <w:r>
              <w:rPr>
                <w:rFonts w:ascii="Times New Roman" w:hAnsi="Times New Roman"/>
                <w:color w:val="000000" w:themeColor="text1"/>
                <w:sz w:val="24"/>
                <w:szCs w:val="24"/>
              </w:rPr>
              <w:t>NO</w:t>
            </w:r>
            <w:r>
              <w:rPr>
                <w:rFonts w:ascii="Times New Roman" w:hAnsi="Times New Roman"/>
                <w:color w:val="000000" w:themeColor="text1"/>
                <w:sz w:val="24"/>
                <w:szCs w:val="24"/>
                <w:vertAlign w:val="subscript"/>
              </w:rPr>
              <w:t>X</w:t>
            </w:r>
            <w:r>
              <w:rPr>
                <w:rFonts w:ascii="Times New Roman" w:hAnsi="宋体"/>
                <w:color w:val="000000" w:themeColor="text1"/>
                <w:sz w:val="24"/>
                <w:szCs w:val="24"/>
              </w:rPr>
              <w:t>、烟尘的排放速率均能满足《大气污染物排放限值》（</w:t>
            </w:r>
            <w:r>
              <w:rPr>
                <w:rFonts w:ascii="Times New Roman" w:hAnsi="Times New Roman"/>
                <w:color w:val="000000" w:themeColor="text1"/>
                <w:sz w:val="24"/>
                <w:szCs w:val="24"/>
              </w:rPr>
              <w:t>DB44/27-2001</w:t>
            </w:r>
            <w:r>
              <w:rPr>
                <w:rFonts w:ascii="Times New Roman" w:hAnsi="宋体"/>
                <w:color w:val="000000" w:themeColor="text1"/>
                <w:sz w:val="24"/>
                <w:szCs w:val="24"/>
              </w:rPr>
              <w:t>）第二时段二级标准相关污染物排放限值要求，对周围环境产生一定的影响较小。</w:t>
            </w:r>
          </w:p>
          <w:p>
            <w:pPr>
              <w:spacing w:line="336" w:lineRule="auto"/>
              <w:ind w:firstLine="482" w:firstLineChars="200"/>
              <w:rPr>
                <w:rFonts w:ascii="Times New Roman" w:hAnsi="Times New Roman"/>
                <w:color w:val="000000"/>
                <w:sz w:val="24"/>
                <w:szCs w:val="24"/>
              </w:rPr>
            </w:pPr>
            <w:r>
              <w:rPr>
                <w:rFonts w:ascii="Times New Roman" w:hAnsi="Times New Roman"/>
                <w:b/>
                <w:color w:val="000000"/>
                <w:sz w:val="24"/>
                <w:szCs w:val="24"/>
              </w:rPr>
              <w:t>3、声环境影响分析</w:t>
            </w:r>
          </w:p>
          <w:p>
            <w:pPr>
              <w:pStyle w:val="144"/>
              <w:spacing w:line="348" w:lineRule="auto"/>
              <w:ind w:firstLine="600" w:firstLineChars="250"/>
              <w:rPr>
                <w:rFonts w:ascii="宋体" w:hAnsi="宋体" w:cs="宋体"/>
                <w:color w:val="000000"/>
              </w:rPr>
            </w:pPr>
            <w:r>
              <w:rPr>
                <w:rFonts w:ascii="宋体" w:hAnsi="宋体" w:cs="宋体"/>
                <w:color w:val="000000"/>
              </w:rPr>
              <w:t>项目混凝土生产线、输送机、搅拌运输车会产生一定的机械噪声。</w:t>
            </w:r>
            <w:r>
              <w:rPr>
                <w:rFonts w:hint="eastAsia" w:ascii="宋体" w:hAnsi="宋体" w:cs="宋体"/>
                <w:color w:val="000000"/>
              </w:rPr>
              <w:t>为了避免项目噪声对周围环境的影响：限制搅拌运输车行驶车速及禁止鸣笛，搅拌运输车经过的重要路段作隔声屏障处理，降低搅拌运输车产生的交通噪声；加强管理，加强对设备机搅拌运输车的维修保养。另外项目夜间不从事任何生产活动，对周边环境影响较小。</w:t>
            </w:r>
          </w:p>
          <w:p>
            <w:pPr>
              <w:pStyle w:val="144"/>
              <w:spacing w:line="348" w:lineRule="auto"/>
              <w:ind w:firstLine="600" w:firstLineChars="250"/>
              <w:rPr>
                <w:color w:val="000000"/>
              </w:rPr>
            </w:pPr>
            <w:r>
              <w:rPr>
                <w:rFonts w:hAnsi="宋体"/>
                <w:color w:val="000000"/>
              </w:rPr>
              <w:t>经过上述措施处理后，项目厂界外</w:t>
            </w:r>
            <w:r>
              <w:rPr>
                <w:color w:val="000000"/>
              </w:rPr>
              <w:t>1</w:t>
            </w:r>
            <w:r>
              <w:rPr>
                <w:rFonts w:hAnsi="宋体"/>
                <w:color w:val="000000"/>
              </w:rPr>
              <w:t>米处的噪声能满足《工业企业厂界环境噪声排放标准》（</w:t>
            </w:r>
            <w:r>
              <w:rPr>
                <w:color w:val="000000"/>
              </w:rPr>
              <w:t>GB12348-2008</w:t>
            </w:r>
            <w:r>
              <w:rPr>
                <w:rFonts w:hAnsi="宋体"/>
                <w:color w:val="000000"/>
              </w:rPr>
              <w:t>）中的</w:t>
            </w:r>
            <w:r>
              <w:rPr>
                <w:rFonts w:hint="eastAsia"/>
                <w:color w:val="000000"/>
              </w:rPr>
              <w:t>2</w:t>
            </w:r>
            <w:r>
              <w:rPr>
                <w:rFonts w:hAnsi="宋体"/>
                <w:color w:val="000000"/>
              </w:rPr>
              <w:t>类标准，对周围的声环境影响很小。</w:t>
            </w:r>
          </w:p>
          <w:p>
            <w:pPr>
              <w:spacing w:line="355" w:lineRule="auto"/>
              <w:ind w:firstLine="482" w:firstLineChars="200"/>
              <w:rPr>
                <w:rFonts w:ascii="Times New Roman" w:hAnsi="Times New Roman"/>
                <w:b/>
                <w:color w:val="000000"/>
                <w:sz w:val="24"/>
                <w:szCs w:val="24"/>
              </w:rPr>
            </w:pPr>
            <w:r>
              <w:rPr>
                <w:rFonts w:ascii="Times New Roman" w:hAnsi="Times New Roman"/>
                <w:b/>
                <w:color w:val="000000"/>
                <w:sz w:val="24"/>
                <w:szCs w:val="24"/>
              </w:rPr>
              <w:t>4、固体废物环境影响分析</w:t>
            </w:r>
          </w:p>
          <w:p>
            <w:pPr>
              <w:snapToGrid w:val="0"/>
              <w:spacing w:line="355" w:lineRule="auto"/>
              <w:ind w:firstLine="480" w:firstLineChars="200"/>
              <w:rPr>
                <w:rFonts w:ascii="Times New Roman" w:hAnsi="Times New Roman"/>
                <w:color w:val="000000"/>
                <w:sz w:val="24"/>
                <w:szCs w:val="24"/>
              </w:rPr>
            </w:pPr>
            <w:r>
              <w:rPr>
                <w:rFonts w:ascii="Times New Roman" w:hAnsi="Times New Roman"/>
                <w:color w:val="000000"/>
                <w:sz w:val="24"/>
                <w:szCs w:val="24"/>
              </w:rPr>
              <w:t>项目生产经营过程中产生的固体废物主要是生活垃圾、一般工业固体废物和</w:t>
            </w:r>
            <w:r>
              <w:rPr>
                <w:rFonts w:hint="eastAsia" w:ascii="Times New Roman" w:hAnsi="Times New Roman"/>
                <w:color w:val="000000"/>
                <w:sz w:val="24"/>
                <w:szCs w:val="24"/>
              </w:rPr>
              <w:t>严控</w:t>
            </w:r>
            <w:r>
              <w:rPr>
                <w:rFonts w:ascii="Times New Roman" w:hAnsi="Times New Roman"/>
                <w:color w:val="000000"/>
                <w:sz w:val="24"/>
                <w:szCs w:val="24"/>
              </w:rPr>
              <w:t>废物。</w:t>
            </w:r>
          </w:p>
          <w:p>
            <w:pPr>
              <w:spacing w:line="355" w:lineRule="auto"/>
              <w:ind w:firstLine="480" w:firstLineChars="200"/>
              <w:textAlignment w:val="baseline"/>
              <w:rPr>
                <w:rFonts w:ascii="Times New Roman" w:hAnsi="Times New Roman"/>
                <w:color w:val="000000"/>
                <w:sz w:val="24"/>
              </w:rPr>
            </w:pPr>
            <w:r>
              <w:rPr>
                <w:rFonts w:hint="eastAsia" w:ascii="Times New Roman" w:hAnsi="Times New Roman"/>
                <w:color w:val="000000"/>
                <w:sz w:val="24"/>
              </w:rPr>
              <w:t>（1）</w:t>
            </w:r>
            <w:r>
              <w:rPr>
                <w:rFonts w:ascii="Times New Roman" w:hAnsi="Times New Roman"/>
                <w:color w:val="000000"/>
                <w:sz w:val="24"/>
              </w:rPr>
              <w:t>生活垃圾：项目员工有</w:t>
            </w:r>
            <w:r>
              <w:rPr>
                <w:rFonts w:hint="eastAsia" w:ascii="Times New Roman" w:hAnsi="Times New Roman"/>
                <w:color w:val="000000"/>
                <w:sz w:val="24"/>
              </w:rPr>
              <w:t>40</w:t>
            </w:r>
            <w:r>
              <w:rPr>
                <w:rFonts w:ascii="Times New Roman" w:hAnsi="Times New Roman"/>
                <w:color w:val="000000"/>
                <w:sz w:val="24"/>
              </w:rPr>
              <w:t>人，生活垃圾产生量为</w:t>
            </w:r>
            <w:r>
              <w:rPr>
                <w:rFonts w:hint="eastAsia" w:ascii="Times New Roman" w:hAnsi="Times New Roman"/>
                <w:color w:val="000000"/>
                <w:sz w:val="24"/>
              </w:rPr>
              <w:t>12</w:t>
            </w:r>
            <w:r>
              <w:rPr>
                <w:rFonts w:ascii="Times New Roman" w:hAnsi="Times New Roman"/>
                <w:color w:val="000000"/>
                <w:sz w:val="24"/>
              </w:rPr>
              <w:t>t/a。</w:t>
            </w:r>
            <w:r>
              <w:rPr>
                <w:rFonts w:hint="eastAsia" w:ascii="Times New Roman" w:hAnsi="Times New Roman"/>
                <w:color w:val="000000"/>
                <w:sz w:val="24"/>
              </w:rPr>
              <w:t>应</w:t>
            </w:r>
            <w:r>
              <w:rPr>
                <w:rFonts w:ascii="Times New Roman" w:hAnsi="Times New Roman"/>
                <w:color w:val="000000"/>
                <w:sz w:val="24"/>
              </w:rPr>
              <w:t>分类收集后，交环卫部门统一处理。</w:t>
            </w:r>
          </w:p>
          <w:p>
            <w:pPr>
              <w:tabs>
                <w:tab w:val="left" w:pos="2565"/>
                <w:tab w:val="left" w:pos="6690"/>
              </w:tabs>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w:t>
            </w:r>
            <w:r>
              <w:rPr>
                <w:rFonts w:ascii="Times New Roman" w:hAnsi="Times New Roman"/>
                <w:color w:val="000000"/>
                <w:sz w:val="24"/>
                <w:szCs w:val="24"/>
              </w:rPr>
              <w:t>一般工业废物：项目生产过程中的废沙石渣、剩余混凝土及沉淀池沉渣等480t/a，</w:t>
            </w:r>
            <w:r>
              <w:rPr>
                <w:rFonts w:hint="eastAsia" w:ascii="Times New Roman" w:hAnsi="Times New Roman"/>
                <w:color w:val="000000"/>
                <w:sz w:val="24"/>
                <w:szCs w:val="24"/>
              </w:rPr>
              <w:t>应</w:t>
            </w:r>
            <w:r>
              <w:rPr>
                <w:rFonts w:ascii="Times New Roman" w:hAnsi="Times New Roman"/>
                <w:color w:val="000000"/>
                <w:sz w:val="24"/>
                <w:szCs w:val="24"/>
              </w:rPr>
              <w:t>集中收集后交有建筑垃圾处理能力的单位处理，对周围环境无直接影响。</w:t>
            </w:r>
          </w:p>
          <w:p>
            <w:pPr>
              <w:adjustRightInd w:val="0"/>
              <w:spacing w:line="360" w:lineRule="auto"/>
              <w:ind w:firstLine="480" w:firstLineChars="200"/>
              <w:textAlignment w:val="baseline"/>
              <w:rPr>
                <w:rFonts w:ascii="宋体" w:hAnsi="Times New Roman"/>
                <w:bCs/>
                <w:snapToGrid w:val="0"/>
                <w:color w:val="000000"/>
                <w:spacing w:val="-4"/>
                <w:kern w:val="18"/>
                <w:sz w:val="24"/>
              </w:rPr>
            </w:pPr>
            <w:r>
              <w:rPr>
                <w:rFonts w:hint="eastAsia" w:ascii="Times New Roman" w:hAnsi="Times New Roman"/>
                <w:color w:val="000000"/>
                <w:kern w:val="0"/>
                <w:sz w:val="24"/>
              </w:rPr>
              <w:t>（3）</w:t>
            </w:r>
            <w:r>
              <w:rPr>
                <w:rFonts w:ascii="Times New Roman" w:hAnsi="Times New Roman"/>
                <w:color w:val="000000"/>
                <w:kern w:val="0"/>
                <w:sz w:val="24"/>
              </w:rPr>
              <w:t>严控废物：项目食堂加工过程以及员工就餐产生餐厨垃圾，对照《广东省严控废物名录》中HY05（饮食业产生的食物加工废物和废弃食物及植物油加工厂产生的残渣），属于严控废物（编号HY05），产生量为20kg/d，6t/a。</w:t>
            </w:r>
            <w:r>
              <w:rPr>
                <w:rFonts w:ascii="宋体" w:hAnsi="Times New Roman"/>
                <w:snapToGrid w:val="0"/>
                <w:color w:val="000000"/>
                <w:spacing w:val="-4"/>
                <w:kern w:val="18"/>
                <w:sz w:val="24"/>
              </w:rPr>
              <w:t>项目产生</w:t>
            </w:r>
            <w:r>
              <w:rPr>
                <w:rFonts w:hint="eastAsia" w:ascii="宋体" w:hAnsi="Times New Roman"/>
                <w:snapToGrid w:val="0"/>
                <w:color w:val="000000"/>
                <w:spacing w:val="-4"/>
                <w:kern w:val="18"/>
                <w:sz w:val="24"/>
              </w:rPr>
              <w:t>餐厨垃圾</w:t>
            </w:r>
            <w:r>
              <w:rPr>
                <w:rFonts w:ascii="宋体" w:hAnsi="Times New Roman"/>
                <w:snapToGrid w:val="0"/>
                <w:color w:val="000000"/>
                <w:spacing w:val="-4"/>
                <w:kern w:val="18"/>
                <w:sz w:val="24"/>
              </w:rPr>
              <w:t>应集中收集后交具有餐厨垃圾处理资质的单位处理，签订协议。</w:t>
            </w:r>
          </w:p>
          <w:p>
            <w:pPr>
              <w:adjustRightInd w:val="0"/>
              <w:snapToGrid w:val="0"/>
              <w:spacing w:line="353" w:lineRule="auto"/>
              <w:ind w:firstLine="482" w:firstLineChars="200"/>
              <w:rPr>
                <w:rFonts w:ascii="Times New Roman" w:hAnsi="Times New Roman"/>
                <w:b/>
                <w:bCs/>
                <w:color w:val="000000" w:themeColor="text1"/>
                <w:sz w:val="24"/>
              </w:rPr>
            </w:pPr>
            <w:r>
              <w:rPr>
                <w:rFonts w:hint="eastAsia" w:ascii="Times New Roman" w:hAnsi="宋体"/>
                <w:b/>
                <w:color w:val="000000" w:themeColor="text1"/>
                <w:sz w:val="24"/>
                <w:szCs w:val="24"/>
              </w:rPr>
              <w:t>三</w:t>
            </w:r>
            <w:r>
              <w:rPr>
                <w:rFonts w:ascii="Times New Roman" w:hAnsi="宋体"/>
                <w:b/>
                <w:color w:val="000000" w:themeColor="text1"/>
                <w:sz w:val="24"/>
                <w:szCs w:val="24"/>
              </w:rPr>
              <w:t>、环保措施投资估算分析</w:t>
            </w:r>
          </w:p>
          <w:p>
            <w:pPr>
              <w:adjustRightInd w:val="0"/>
              <w:snapToGrid w:val="0"/>
              <w:spacing w:line="353" w:lineRule="auto"/>
              <w:jc w:val="center"/>
              <w:rPr>
                <w:rFonts w:ascii="Times New Roman" w:hAnsi="Times New Roman"/>
                <w:b/>
                <w:bCs/>
                <w:color w:val="000000" w:themeColor="text1"/>
                <w:sz w:val="24"/>
              </w:rPr>
            </w:pPr>
            <w:r>
              <w:rPr>
                <w:rFonts w:ascii="Times New Roman" w:hAnsi="宋体"/>
                <w:b/>
                <w:bCs/>
                <w:color w:val="000000" w:themeColor="text1"/>
                <w:sz w:val="24"/>
              </w:rPr>
              <w:t>表</w:t>
            </w:r>
            <w:r>
              <w:rPr>
                <w:rFonts w:ascii="Times New Roman" w:hAnsi="Times New Roman"/>
                <w:b/>
                <w:bCs/>
                <w:color w:val="000000" w:themeColor="text1"/>
                <w:sz w:val="24"/>
              </w:rPr>
              <w:t>1</w:t>
            </w:r>
            <w:r>
              <w:rPr>
                <w:rFonts w:hint="eastAsia" w:ascii="Times New Roman" w:hAnsi="Times New Roman"/>
                <w:b/>
                <w:bCs/>
                <w:color w:val="000000" w:themeColor="text1"/>
                <w:sz w:val="24"/>
              </w:rPr>
              <w:t>2</w:t>
            </w:r>
            <w:r>
              <w:rPr>
                <w:rFonts w:ascii="Times New Roman" w:hAnsi="Times New Roman"/>
                <w:b/>
                <w:bCs/>
                <w:color w:val="000000" w:themeColor="text1"/>
                <w:sz w:val="24"/>
              </w:rPr>
              <w:t xml:space="preserve">  </w:t>
            </w:r>
            <w:r>
              <w:rPr>
                <w:rFonts w:ascii="Times New Roman" w:hAnsi="宋体"/>
                <w:b/>
                <w:bCs/>
                <w:color w:val="000000" w:themeColor="text1"/>
                <w:sz w:val="24"/>
              </w:rPr>
              <w:t>项目环保投资一览表</w:t>
            </w:r>
          </w:p>
          <w:tbl>
            <w:tblPr>
              <w:tblStyle w:val="27"/>
              <w:tblW w:w="82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454"/>
              <w:gridCol w:w="3668"/>
              <w:gridCol w:w="2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Align w:val="center"/>
                </w:tcPr>
                <w:p>
                  <w:pPr>
                    <w:pStyle w:val="83"/>
                    <w:adjustRightInd w:val="0"/>
                    <w:snapToGrid w:val="0"/>
                    <w:rPr>
                      <w:rFonts w:eastAsia="宋体"/>
                      <w:b/>
                      <w:color w:val="000000" w:themeColor="text1"/>
                      <w:szCs w:val="21"/>
                    </w:rPr>
                  </w:pPr>
                  <w:r>
                    <w:rPr>
                      <w:rFonts w:hAnsi="宋体" w:eastAsia="宋体"/>
                      <w:b/>
                      <w:color w:val="000000" w:themeColor="text1"/>
                      <w:szCs w:val="21"/>
                    </w:rPr>
                    <w:t>时期</w:t>
                  </w:r>
                </w:p>
              </w:tc>
              <w:tc>
                <w:tcPr>
                  <w:tcW w:w="1454" w:type="dxa"/>
                  <w:vAlign w:val="center"/>
                </w:tcPr>
                <w:p>
                  <w:pPr>
                    <w:pStyle w:val="83"/>
                    <w:adjustRightInd w:val="0"/>
                    <w:snapToGrid w:val="0"/>
                    <w:rPr>
                      <w:rFonts w:eastAsia="宋体"/>
                      <w:b/>
                      <w:color w:val="000000" w:themeColor="text1"/>
                      <w:szCs w:val="21"/>
                    </w:rPr>
                  </w:pPr>
                  <w:r>
                    <w:rPr>
                      <w:rFonts w:hAnsi="宋体" w:eastAsia="宋体"/>
                      <w:b/>
                      <w:color w:val="000000" w:themeColor="text1"/>
                      <w:szCs w:val="21"/>
                    </w:rPr>
                    <w:t>类型</w:t>
                  </w:r>
                </w:p>
              </w:tc>
              <w:tc>
                <w:tcPr>
                  <w:tcW w:w="3668" w:type="dxa"/>
                  <w:vAlign w:val="center"/>
                </w:tcPr>
                <w:p>
                  <w:pPr>
                    <w:pStyle w:val="83"/>
                    <w:adjustRightInd w:val="0"/>
                    <w:snapToGrid w:val="0"/>
                    <w:rPr>
                      <w:rFonts w:eastAsia="宋体"/>
                      <w:b/>
                      <w:color w:val="000000" w:themeColor="text1"/>
                      <w:szCs w:val="21"/>
                    </w:rPr>
                  </w:pPr>
                  <w:r>
                    <w:rPr>
                      <w:rFonts w:hAnsi="宋体" w:eastAsia="宋体"/>
                      <w:b/>
                      <w:color w:val="000000" w:themeColor="text1"/>
                      <w:szCs w:val="21"/>
                    </w:rPr>
                    <w:t>措施</w:t>
                  </w:r>
                </w:p>
              </w:tc>
              <w:tc>
                <w:tcPr>
                  <w:tcW w:w="2287" w:type="dxa"/>
                  <w:vAlign w:val="center"/>
                </w:tcPr>
                <w:p>
                  <w:pPr>
                    <w:pStyle w:val="83"/>
                    <w:adjustRightInd w:val="0"/>
                    <w:snapToGrid w:val="0"/>
                    <w:rPr>
                      <w:rFonts w:eastAsia="宋体"/>
                      <w:b/>
                      <w:color w:val="000000" w:themeColor="text1"/>
                      <w:szCs w:val="21"/>
                    </w:rPr>
                  </w:pPr>
                  <w:r>
                    <w:rPr>
                      <w:rFonts w:hAnsi="宋体" w:eastAsia="宋体"/>
                      <w:b/>
                      <w:color w:val="000000" w:themeColor="text1"/>
                      <w:szCs w:val="21"/>
                    </w:rPr>
                    <w:t>预计环保资金（万元）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Merge w:val="restart"/>
                  <w:vAlign w:val="center"/>
                </w:tcPr>
                <w:p>
                  <w:pPr>
                    <w:pStyle w:val="83"/>
                    <w:adjustRightInd w:val="0"/>
                    <w:snapToGrid w:val="0"/>
                    <w:rPr>
                      <w:rFonts w:eastAsia="宋体"/>
                      <w:b/>
                      <w:color w:val="000000" w:themeColor="text1"/>
                      <w:szCs w:val="21"/>
                      <w:highlight w:val="yellow"/>
                    </w:rPr>
                  </w:pPr>
                  <w:r>
                    <w:rPr>
                      <w:rFonts w:hAnsi="宋体" w:eastAsia="宋体"/>
                      <w:color w:val="000000" w:themeColor="text1"/>
                      <w:szCs w:val="21"/>
                    </w:rPr>
                    <w:t>施工期</w:t>
                  </w:r>
                </w:p>
              </w:tc>
              <w:tc>
                <w:tcPr>
                  <w:tcW w:w="1454"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水土流失</w:t>
                  </w:r>
                </w:p>
              </w:tc>
              <w:tc>
                <w:tcPr>
                  <w:tcW w:w="3668" w:type="dxa"/>
                  <w:vAlign w:val="center"/>
                </w:tcPr>
                <w:p>
                  <w:pPr>
                    <w:pStyle w:val="83"/>
                    <w:adjustRightInd w:val="0"/>
                    <w:snapToGrid w:val="0"/>
                    <w:rPr>
                      <w:rFonts w:eastAsia="宋体"/>
                      <w:color w:val="000000" w:themeColor="text1"/>
                      <w:szCs w:val="21"/>
                    </w:rPr>
                  </w:pPr>
                  <w:r>
                    <w:rPr>
                      <w:rFonts w:hint="eastAsia" w:hAnsi="宋体" w:eastAsia="宋体"/>
                      <w:color w:val="000000" w:themeColor="text1"/>
                      <w:szCs w:val="21"/>
                    </w:rPr>
                    <w:t>水土保持工作</w:t>
                  </w:r>
                  <w:r>
                    <w:rPr>
                      <w:rFonts w:hAnsi="宋体" w:eastAsia="宋体"/>
                      <w:color w:val="000000" w:themeColor="text1"/>
                      <w:szCs w:val="21"/>
                    </w:rPr>
                    <w:t>等</w:t>
                  </w:r>
                </w:p>
              </w:tc>
              <w:tc>
                <w:tcPr>
                  <w:tcW w:w="2287" w:type="dxa"/>
                  <w:vAlign w:val="center"/>
                </w:tcPr>
                <w:p>
                  <w:pPr>
                    <w:pStyle w:val="83"/>
                    <w:adjustRightInd w:val="0"/>
                    <w:snapToGrid w:val="0"/>
                    <w:rPr>
                      <w:rFonts w:eastAsia="宋体"/>
                      <w:color w:val="000000" w:themeColor="text1"/>
                      <w:szCs w:val="21"/>
                    </w:rPr>
                  </w:pPr>
                  <w:r>
                    <w:rPr>
                      <w:rFonts w:eastAsia="宋体"/>
                      <w:color w:val="000000" w:themeColor="text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Merge w:val="continue"/>
                  <w:vAlign w:val="center"/>
                </w:tcPr>
                <w:p>
                  <w:pPr>
                    <w:pStyle w:val="83"/>
                    <w:adjustRightInd w:val="0"/>
                    <w:snapToGrid w:val="0"/>
                    <w:rPr>
                      <w:rFonts w:eastAsia="宋体"/>
                      <w:color w:val="000000" w:themeColor="text1"/>
                      <w:szCs w:val="21"/>
                      <w:highlight w:val="yellow"/>
                    </w:rPr>
                  </w:pPr>
                </w:p>
              </w:tc>
              <w:tc>
                <w:tcPr>
                  <w:tcW w:w="1454"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废水</w:t>
                  </w:r>
                </w:p>
              </w:tc>
              <w:tc>
                <w:tcPr>
                  <w:tcW w:w="3668" w:type="dxa"/>
                  <w:vAlign w:val="center"/>
                </w:tcPr>
                <w:p>
                  <w:pPr>
                    <w:pStyle w:val="83"/>
                    <w:adjustRightInd w:val="0"/>
                    <w:snapToGrid w:val="0"/>
                    <w:rPr>
                      <w:rFonts w:eastAsia="宋体"/>
                      <w:color w:val="000000" w:themeColor="text1"/>
                      <w:szCs w:val="21"/>
                    </w:rPr>
                  </w:pPr>
                  <w:r>
                    <w:rPr>
                      <w:rFonts w:hint="eastAsia" w:hAnsi="宋体" w:eastAsia="宋体"/>
                      <w:color w:val="000000" w:themeColor="text1"/>
                    </w:rPr>
                    <w:t>建造临时沉淀池和隔油设施等</w:t>
                  </w:r>
                </w:p>
              </w:tc>
              <w:tc>
                <w:tcPr>
                  <w:tcW w:w="2287" w:type="dxa"/>
                  <w:vAlign w:val="center"/>
                </w:tcPr>
                <w:p>
                  <w:pPr>
                    <w:pStyle w:val="83"/>
                    <w:adjustRightInd w:val="0"/>
                    <w:snapToGrid w:val="0"/>
                    <w:rPr>
                      <w:rFonts w:eastAsia="宋体"/>
                      <w:color w:val="000000" w:themeColor="text1"/>
                      <w:szCs w:val="21"/>
                    </w:rPr>
                  </w:pPr>
                  <w:r>
                    <w:rPr>
                      <w:rFonts w:hint="eastAsia" w:eastAsia="宋体"/>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Merge w:val="continue"/>
                  <w:vAlign w:val="center"/>
                </w:tcPr>
                <w:p>
                  <w:pPr>
                    <w:pStyle w:val="83"/>
                    <w:adjustRightInd w:val="0"/>
                    <w:snapToGrid w:val="0"/>
                    <w:rPr>
                      <w:rFonts w:eastAsia="宋体"/>
                      <w:color w:val="000000" w:themeColor="text1"/>
                      <w:szCs w:val="21"/>
                      <w:highlight w:val="yellow"/>
                    </w:rPr>
                  </w:pPr>
                </w:p>
              </w:tc>
              <w:tc>
                <w:tcPr>
                  <w:tcW w:w="1454"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废气</w:t>
                  </w:r>
                </w:p>
              </w:tc>
              <w:tc>
                <w:tcPr>
                  <w:tcW w:w="3668"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设置围蔽、洒水抑尘、加盖帆布</w:t>
                  </w:r>
                  <w:r>
                    <w:rPr>
                      <w:rFonts w:hint="eastAsia" w:hAnsi="宋体" w:eastAsia="宋体"/>
                      <w:color w:val="000000" w:themeColor="text1"/>
                      <w:szCs w:val="21"/>
                    </w:rPr>
                    <w:t>,</w:t>
                  </w:r>
                  <w:r>
                    <w:rPr>
                      <w:rFonts w:hAnsi="宋体" w:eastAsia="宋体"/>
                      <w:position w:val="0"/>
                      <w:szCs w:val="21"/>
                    </w:rPr>
                    <w:t xml:space="preserve"> </w:t>
                  </w:r>
                  <w:r>
                    <w:rPr>
                      <w:rFonts w:hAnsi="宋体" w:eastAsia="宋体"/>
                      <w:color w:val="000000" w:themeColor="text1"/>
                      <w:szCs w:val="21"/>
                    </w:rPr>
                    <w:t>选用含硫量低的0#优质轻柴油，并加装主动再生式柴油颗粒捕集器等</w:t>
                  </w:r>
                </w:p>
              </w:tc>
              <w:tc>
                <w:tcPr>
                  <w:tcW w:w="2287" w:type="dxa"/>
                  <w:vAlign w:val="center"/>
                </w:tcPr>
                <w:p>
                  <w:pPr>
                    <w:pStyle w:val="83"/>
                    <w:adjustRightInd w:val="0"/>
                    <w:snapToGrid w:val="0"/>
                    <w:rPr>
                      <w:rFonts w:eastAsia="宋体"/>
                      <w:color w:val="000000" w:themeColor="text1"/>
                      <w:szCs w:val="21"/>
                    </w:rPr>
                  </w:pPr>
                  <w:r>
                    <w:rPr>
                      <w:rFonts w:hint="eastAsia" w:eastAsia="宋体"/>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Merge w:val="continue"/>
                  <w:vAlign w:val="center"/>
                </w:tcPr>
                <w:p>
                  <w:pPr>
                    <w:pStyle w:val="83"/>
                    <w:adjustRightInd w:val="0"/>
                    <w:snapToGrid w:val="0"/>
                    <w:rPr>
                      <w:rFonts w:eastAsia="宋体"/>
                      <w:color w:val="000000" w:themeColor="text1"/>
                      <w:szCs w:val="21"/>
                      <w:highlight w:val="yellow"/>
                    </w:rPr>
                  </w:pPr>
                </w:p>
              </w:tc>
              <w:tc>
                <w:tcPr>
                  <w:tcW w:w="1454"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噪声</w:t>
                  </w:r>
                </w:p>
              </w:tc>
              <w:tc>
                <w:tcPr>
                  <w:tcW w:w="3668" w:type="dxa"/>
                  <w:vAlign w:val="center"/>
                </w:tcPr>
                <w:p>
                  <w:pPr>
                    <w:pStyle w:val="83"/>
                    <w:adjustRightInd w:val="0"/>
                    <w:snapToGrid w:val="0"/>
                    <w:rPr>
                      <w:rFonts w:eastAsia="宋体"/>
                      <w:color w:val="000000" w:themeColor="text1"/>
                      <w:szCs w:val="21"/>
                    </w:rPr>
                  </w:pPr>
                  <w:r>
                    <w:rPr>
                      <w:rFonts w:hint="eastAsia" w:hAnsi="宋体" w:eastAsia="宋体"/>
                      <w:color w:val="000000" w:themeColor="text1"/>
                      <w:szCs w:val="21"/>
                    </w:rPr>
                    <w:t>采用先进、低噪声设备，并加强管理和维护</w:t>
                  </w:r>
                  <w:r>
                    <w:rPr>
                      <w:rFonts w:hAnsi="宋体" w:eastAsia="宋体"/>
                      <w:color w:val="000000" w:themeColor="text1"/>
                      <w:szCs w:val="21"/>
                    </w:rPr>
                    <w:t>等</w:t>
                  </w:r>
                </w:p>
              </w:tc>
              <w:tc>
                <w:tcPr>
                  <w:tcW w:w="2287" w:type="dxa"/>
                  <w:vAlign w:val="center"/>
                </w:tcPr>
                <w:p>
                  <w:pPr>
                    <w:pStyle w:val="83"/>
                    <w:adjustRightInd w:val="0"/>
                    <w:snapToGrid w:val="0"/>
                    <w:rPr>
                      <w:rFonts w:eastAsia="宋体"/>
                      <w:color w:val="000000" w:themeColor="text1"/>
                      <w:szCs w:val="21"/>
                    </w:rPr>
                  </w:pPr>
                  <w:r>
                    <w:rPr>
                      <w:rFonts w:eastAsia="宋体"/>
                      <w:color w:val="000000" w:themeColor="text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Merge w:val="continue"/>
                  <w:vAlign w:val="center"/>
                </w:tcPr>
                <w:p>
                  <w:pPr>
                    <w:pStyle w:val="83"/>
                    <w:adjustRightInd w:val="0"/>
                    <w:snapToGrid w:val="0"/>
                    <w:rPr>
                      <w:rFonts w:eastAsia="宋体"/>
                      <w:color w:val="000000" w:themeColor="text1"/>
                      <w:szCs w:val="21"/>
                      <w:highlight w:val="yellow"/>
                    </w:rPr>
                  </w:pPr>
                </w:p>
              </w:tc>
              <w:tc>
                <w:tcPr>
                  <w:tcW w:w="1454"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固体废物</w:t>
                  </w:r>
                </w:p>
              </w:tc>
              <w:tc>
                <w:tcPr>
                  <w:tcW w:w="3668"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施工期建筑垃圾、施工人员垃圾清运等</w:t>
                  </w:r>
                </w:p>
              </w:tc>
              <w:tc>
                <w:tcPr>
                  <w:tcW w:w="2287" w:type="dxa"/>
                  <w:vAlign w:val="center"/>
                </w:tcPr>
                <w:p>
                  <w:pPr>
                    <w:pStyle w:val="83"/>
                    <w:adjustRightInd w:val="0"/>
                    <w:snapToGrid w:val="0"/>
                    <w:rPr>
                      <w:rFonts w:eastAsia="宋体"/>
                      <w:color w:val="000000" w:themeColor="text1"/>
                      <w:szCs w:val="21"/>
                    </w:rPr>
                  </w:pPr>
                  <w:r>
                    <w:rPr>
                      <w:rFonts w:hint="eastAsia" w:eastAsia="宋体"/>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Merge w:val="restart"/>
                  <w:vAlign w:val="center"/>
                </w:tcPr>
                <w:p>
                  <w:pPr>
                    <w:pStyle w:val="83"/>
                    <w:adjustRightInd w:val="0"/>
                    <w:snapToGrid w:val="0"/>
                    <w:rPr>
                      <w:rFonts w:eastAsia="宋体"/>
                      <w:color w:val="000000" w:themeColor="text1"/>
                      <w:szCs w:val="21"/>
                    </w:rPr>
                  </w:pPr>
                  <w:r>
                    <w:rPr>
                      <w:rFonts w:hAnsi="宋体" w:eastAsia="宋体"/>
                      <w:color w:val="000000" w:themeColor="text1"/>
                      <w:szCs w:val="21"/>
                    </w:rPr>
                    <w:t>运</w:t>
                  </w:r>
                </w:p>
                <w:p>
                  <w:pPr>
                    <w:pStyle w:val="83"/>
                    <w:adjustRightInd w:val="0"/>
                    <w:snapToGrid w:val="0"/>
                    <w:rPr>
                      <w:rFonts w:eastAsia="宋体"/>
                      <w:color w:val="000000" w:themeColor="text1"/>
                      <w:szCs w:val="21"/>
                    </w:rPr>
                  </w:pPr>
                  <w:r>
                    <w:rPr>
                      <w:rFonts w:hAnsi="宋体" w:eastAsia="宋体"/>
                      <w:color w:val="000000" w:themeColor="text1"/>
                      <w:szCs w:val="21"/>
                    </w:rPr>
                    <w:t>营期</w:t>
                  </w:r>
                </w:p>
              </w:tc>
              <w:tc>
                <w:tcPr>
                  <w:tcW w:w="1454"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废水</w:t>
                  </w:r>
                </w:p>
              </w:tc>
              <w:tc>
                <w:tcPr>
                  <w:tcW w:w="3668" w:type="dxa"/>
                  <w:vAlign w:val="center"/>
                </w:tcPr>
                <w:p>
                  <w:pPr>
                    <w:pStyle w:val="83"/>
                    <w:adjustRightInd w:val="0"/>
                    <w:snapToGrid w:val="0"/>
                    <w:rPr>
                      <w:rFonts w:eastAsia="宋体"/>
                      <w:color w:val="000000" w:themeColor="text1"/>
                      <w:szCs w:val="21"/>
                    </w:rPr>
                  </w:pPr>
                  <w:r>
                    <w:rPr>
                      <w:rFonts w:hAnsi="宋体" w:eastAsia="宋体"/>
                      <w:color w:val="000000" w:themeColor="text1"/>
                    </w:rPr>
                    <w:t>生活污水处理装置、化粪池、</w:t>
                  </w:r>
                  <w:r>
                    <w:rPr>
                      <w:rFonts w:hint="eastAsia" w:hAnsi="宋体" w:eastAsia="宋体"/>
                      <w:color w:val="000000" w:themeColor="text1"/>
                    </w:rPr>
                    <w:t>三级沉淀池+清水池</w:t>
                  </w:r>
                  <w:r>
                    <w:rPr>
                      <w:rFonts w:hAnsi="宋体" w:eastAsia="宋体"/>
                      <w:color w:val="000000" w:themeColor="text1"/>
                      <w:szCs w:val="21"/>
                    </w:rPr>
                    <w:t>等</w:t>
                  </w:r>
                </w:p>
              </w:tc>
              <w:tc>
                <w:tcPr>
                  <w:tcW w:w="2287" w:type="dxa"/>
                  <w:vAlign w:val="center"/>
                </w:tcPr>
                <w:p>
                  <w:pPr>
                    <w:pStyle w:val="83"/>
                    <w:adjustRightInd w:val="0"/>
                    <w:snapToGrid w:val="0"/>
                    <w:rPr>
                      <w:rFonts w:eastAsia="宋体"/>
                      <w:color w:val="000000" w:themeColor="text1"/>
                      <w:szCs w:val="21"/>
                    </w:rPr>
                  </w:pPr>
                  <w:r>
                    <w:rPr>
                      <w:rFonts w:hint="eastAsia" w:eastAsia="宋体"/>
                      <w:color w:val="000000" w:themeColor="text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Merge w:val="continue"/>
                  <w:vAlign w:val="center"/>
                </w:tcPr>
                <w:p>
                  <w:pPr>
                    <w:pStyle w:val="83"/>
                    <w:adjustRightInd w:val="0"/>
                    <w:snapToGrid w:val="0"/>
                    <w:rPr>
                      <w:rFonts w:eastAsia="宋体"/>
                      <w:color w:val="000000" w:themeColor="text1"/>
                      <w:szCs w:val="21"/>
                    </w:rPr>
                  </w:pPr>
                </w:p>
              </w:tc>
              <w:tc>
                <w:tcPr>
                  <w:tcW w:w="1454"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废气</w:t>
                  </w:r>
                </w:p>
              </w:tc>
              <w:tc>
                <w:tcPr>
                  <w:tcW w:w="3668" w:type="dxa"/>
                  <w:vAlign w:val="center"/>
                </w:tcPr>
                <w:p>
                  <w:pPr>
                    <w:pStyle w:val="83"/>
                    <w:adjustRightInd w:val="0"/>
                    <w:snapToGrid w:val="0"/>
                    <w:jc w:val="both"/>
                    <w:rPr>
                      <w:rFonts w:eastAsia="宋体"/>
                      <w:color w:val="000000" w:themeColor="text1"/>
                      <w:szCs w:val="21"/>
                    </w:rPr>
                  </w:pPr>
                  <w:r>
                    <w:rPr>
                      <w:rFonts w:hAnsi="宋体" w:eastAsia="宋体"/>
                      <w:color w:val="000000" w:themeColor="text1"/>
                      <w:szCs w:val="21"/>
                    </w:rPr>
                    <w:t>备用发电机尾气净化设施、专用烟道</w:t>
                  </w:r>
                  <w:r>
                    <w:rPr>
                      <w:rFonts w:hint="eastAsia" w:hAnsi="宋体" w:eastAsia="宋体"/>
                      <w:color w:val="000000" w:themeColor="text1"/>
                      <w:szCs w:val="21"/>
                    </w:rPr>
                    <w:t>、</w:t>
                  </w:r>
                  <w:r>
                    <w:rPr>
                      <w:rFonts w:hAnsi="宋体" w:eastAsia="宋体"/>
                      <w:color w:val="000000" w:themeColor="text1"/>
                      <w:szCs w:val="21"/>
                    </w:rPr>
                    <w:t>油烟净化器</w:t>
                  </w:r>
                  <w:r>
                    <w:rPr>
                      <w:rFonts w:hint="eastAsia" w:hAnsi="宋体" w:eastAsia="宋体"/>
                      <w:color w:val="000000" w:themeColor="text1"/>
                      <w:szCs w:val="21"/>
                    </w:rPr>
                    <w:t>、旋风+布袋除尘器</w:t>
                  </w:r>
                </w:p>
              </w:tc>
              <w:tc>
                <w:tcPr>
                  <w:tcW w:w="2287" w:type="dxa"/>
                  <w:vAlign w:val="center"/>
                </w:tcPr>
                <w:p>
                  <w:pPr>
                    <w:pStyle w:val="83"/>
                    <w:adjustRightInd w:val="0"/>
                    <w:snapToGrid w:val="0"/>
                    <w:rPr>
                      <w:rFonts w:eastAsia="宋体"/>
                      <w:color w:val="000000" w:themeColor="text1"/>
                      <w:szCs w:val="21"/>
                    </w:rPr>
                  </w:pPr>
                  <w:r>
                    <w:rPr>
                      <w:rFonts w:hint="eastAsia" w:eastAsia="宋体"/>
                      <w:color w:val="000000" w:themeColor="text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Merge w:val="continue"/>
                  <w:vAlign w:val="center"/>
                </w:tcPr>
                <w:p>
                  <w:pPr>
                    <w:pStyle w:val="83"/>
                    <w:adjustRightInd w:val="0"/>
                    <w:snapToGrid w:val="0"/>
                    <w:rPr>
                      <w:rFonts w:eastAsia="宋体"/>
                      <w:color w:val="000000" w:themeColor="text1"/>
                      <w:szCs w:val="21"/>
                    </w:rPr>
                  </w:pPr>
                </w:p>
              </w:tc>
              <w:tc>
                <w:tcPr>
                  <w:tcW w:w="1454"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设备噪声</w:t>
                  </w:r>
                </w:p>
              </w:tc>
              <w:tc>
                <w:tcPr>
                  <w:tcW w:w="3668"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设备发电机房隔声、设备消声、减振措施等</w:t>
                  </w:r>
                </w:p>
              </w:tc>
              <w:tc>
                <w:tcPr>
                  <w:tcW w:w="2287" w:type="dxa"/>
                  <w:vAlign w:val="center"/>
                </w:tcPr>
                <w:p>
                  <w:pPr>
                    <w:pStyle w:val="83"/>
                    <w:adjustRightInd w:val="0"/>
                    <w:snapToGrid w:val="0"/>
                    <w:rPr>
                      <w:rFonts w:eastAsia="宋体"/>
                      <w:color w:val="000000" w:themeColor="text1"/>
                      <w:szCs w:val="21"/>
                    </w:rPr>
                  </w:pPr>
                  <w:r>
                    <w:rPr>
                      <w:rFonts w:eastAsia="宋体"/>
                      <w:color w:val="000000" w:themeColor="text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6" w:type="dxa"/>
                  <w:vMerge w:val="continue"/>
                  <w:vAlign w:val="center"/>
                </w:tcPr>
                <w:p>
                  <w:pPr>
                    <w:pStyle w:val="83"/>
                    <w:adjustRightInd w:val="0"/>
                    <w:snapToGrid w:val="0"/>
                    <w:rPr>
                      <w:rFonts w:eastAsia="宋体"/>
                      <w:color w:val="000000" w:themeColor="text1"/>
                      <w:szCs w:val="21"/>
                    </w:rPr>
                  </w:pPr>
                </w:p>
              </w:tc>
              <w:tc>
                <w:tcPr>
                  <w:tcW w:w="1454"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固体废物</w:t>
                  </w:r>
                </w:p>
              </w:tc>
              <w:tc>
                <w:tcPr>
                  <w:tcW w:w="3668" w:type="dxa"/>
                  <w:vAlign w:val="center"/>
                </w:tcPr>
                <w:p>
                  <w:pPr>
                    <w:pStyle w:val="83"/>
                    <w:adjustRightInd w:val="0"/>
                    <w:snapToGrid w:val="0"/>
                    <w:rPr>
                      <w:rFonts w:eastAsia="宋体"/>
                      <w:color w:val="000000" w:themeColor="text1"/>
                      <w:szCs w:val="21"/>
                    </w:rPr>
                  </w:pPr>
                  <w:r>
                    <w:rPr>
                      <w:rFonts w:hAnsi="宋体" w:eastAsia="宋体"/>
                      <w:color w:val="000000" w:themeColor="text1"/>
                      <w:szCs w:val="21"/>
                    </w:rPr>
                    <w:t>建设配套的垃圾临时分类收集点</w:t>
                  </w:r>
                </w:p>
              </w:tc>
              <w:tc>
                <w:tcPr>
                  <w:tcW w:w="2287" w:type="dxa"/>
                  <w:vAlign w:val="center"/>
                </w:tcPr>
                <w:p>
                  <w:pPr>
                    <w:pStyle w:val="83"/>
                    <w:adjustRightInd w:val="0"/>
                    <w:snapToGrid w:val="0"/>
                    <w:rPr>
                      <w:rFonts w:eastAsia="宋体"/>
                      <w:color w:val="000000" w:themeColor="text1"/>
                      <w:szCs w:val="21"/>
                    </w:rPr>
                  </w:pPr>
                  <w:r>
                    <w:rPr>
                      <w:rFonts w:eastAsia="宋体"/>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80" w:type="dxa"/>
                  <w:gridSpan w:val="2"/>
                  <w:vAlign w:val="center"/>
                </w:tcPr>
                <w:p>
                  <w:pPr>
                    <w:pStyle w:val="83"/>
                    <w:adjustRightInd w:val="0"/>
                    <w:snapToGrid w:val="0"/>
                    <w:rPr>
                      <w:rFonts w:eastAsia="宋体"/>
                      <w:color w:val="000000" w:themeColor="text1"/>
                      <w:szCs w:val="21"/>
                    </w:rPr>
                  </w:pPr>
                  <w:r>
                    <w:rPr>
                      <w:rFonts w:hAnsi="宋体" w:eastAsia="宋体"/>
                      <w:color w:val="000000" w:themeColor="text1"/>
                      <w:szCs w:val="21"/>
                    </w:rPr>
                    <w:t>总计</w:t>
                  </w:r>
                </w:p>
              </w:tc>
              <w:tc>
                <w:tcPr>
                  <w:tcW w:w="3668" w:type="dxa"/>
                  <w:vAlign w:val="center"/>
                </w:tcPr>
                <w:p>
                  <w:pPr>
                    <w:pStyle w:val="83"/>
                    <w:adjustRightInd w:val="0"/>
                    <w:snapToGrid w:val="0"/>
                    <w:rPr>
                      <w:rFonts w:eastAsia="宋体"/>
                      <w:color w:val="000000" w:themeColor="text1"/>
                      <w:szCs w:val="21"/>
                    </w:rPr>
                  </w:pPr>
                  <w:r>
                    <w:rPr>
                      <w:rFonts w:eastAsia="宋体"/>
                      <w:color w:val="000000" w:themeColor="text1"/>
                      <w:szCs w:val="21"/>
                    </w:rPr>
                    <w:t>——</w:t>
                  </w:r>
                </w:p>
              </w:tc>
              <w:tc>
                <w:tcPr>
                  <w:tcW w:w="2287" w:type="dxa"/>
                  <w:vAlign w:val="center"/>
                </w:tcPr>
                <w:p>
                  <w:pPr>
                    <w:pStyle w:val="83"/>
                    <w:adjustRightInd w:val="0"/>
                    <w:snapToGrid w:val="0"/>
                    <w:rPr>
                      <w:rFonts w:eastAsia="宋体"/>
                      <w:color w:val="000000" w:themeColor="text1"/>
                      <w:szCs w:val="21"/>
                    </w:rPr>
                  </w:pPr>
                  <w:r>
                    <w:rPr>
                      <w:rFonts w:hint="eastAsia" w:eastAsia="宋体"/>
                      <w:color w:val="000000" w:themeColor="text1"/>
                      <w:szCs w:val="21"/>
                    </w:rPr>
                    <w:t>250</w:t>
                  </w:r>
                </w:p>
              </w:tc>
            </w:tr>
          </w:tbl>
          <w:p>
            <w:pPr>
              <w:adjustRightInd w:val="0"/>
              <w:snapToGrid w:val="0"/>
              <w:spacing w:beforeLines="50" w:line="360" w:lineRule="auto"/>
              <w:ind w:right="105" w:rightChars="50" w:firstLine="482" w:firstLineChars="200"/>
              <w:rPr>
                <w:rFonts w:ascii="Times New Roman" w:hAnsi="Times New Roman"/>
                <w:b/>
                <w:color w:val="000000" w:themeColor="text1"/>
                <w:sz w:val="24"/>
                <w:szCs w:val="24"/>
              </w:rPr>
            </w:pPr>
            <w:r>
              <w:rPr>
                <w:rFonts w:hint="eastAsia" w:ascii="Times New Roman" w:hAnsi="宋体"/>
                <w:b/>
                <w:color w:val="000000" w:themeColor="text1"/>
                <w:sz w:val="24"/>
                <w:szCs w:val="24"/>
              </w:rPr>
              <w:t>四</w:t>
            </w:r>
            <w:r>
              <w:rPr>
                <w:rFonts w:ascii="Times New Roman" w:hAnsi="宋体"/>
                <w:b/>
                <w:color w:val="000000" w:themeColor="text1"/>
                <w:sz w:val="24"/>
                <w:szCs w:val="24"/>
              </w:rPr>
              <w:t>、环保措施验收的内容</w:t>
            </w:r>
          </w:p>
          <w:p>
            <w:pPr>
              <w:pStyle w:val="101"/>
              <w:adjustRightInd w:val="0"/>
              <w:snapToGrid w:val="0"/>
              <w:ind w:firstLine="0" w:firstLineChars="0"/>
              <w:jc w:val="center"/>
              <w:rPr>
                <w:rFonts w:cs="Times New Roman"/>
                <w:b/>
                <w:color w:val="000000" w:themeColor="text1"/>
                <w:szCs w:val="24"/>
              </w:rPr>
            </w:pPr>
            <w:r>
              <w:rPr>
                <w:rFonts w:hAnsi="宋体" w:cs="Times New Roman"/>
                <w:b/>
                <w:color w:val="000000" w:themeColor="text1"/>
                <w:szCs w:val="24"/>
              </w:rPr>
              <w:t>表</w:t>
            </w:r>
            <w:r>
              <w:rPr>
                <w:rFonts w:cs="Times New Roman"/>
                <w:b/>
                <w:color w:val="000000" w:themeColor="text1"/>
                <w:szCs w:val="24"/>
              </w:rPr>
              <w:t>1</w:t>
            </w:r>
            <w:r>
              <w:rPr>
                <w:rFonts w:hint="eastAsia" w:cs="Times New Roman"/>
                <w:b/>
                <w:color w:val="000000" w:themeColor="text1"/>
                <w:szCs w:val="24"/>
              </w:rPr>
              <w:t>3</w:t>
            </w:r>
            <w:r>
              <w:rPr>
                <w:rFonts w:cs="Times New Roman"/>
                <w:b/>
                <w:color w:val="000000" w:themeColor="text1"/>
                <w:szCs w:val="24"/>
              </w:rPr>
              <w:t xml:space="preserve">  </w:t>
            </w:r>
            <w:r>
              <w:rPr>
                <w:rFonts w:hAnsi="宋体" w:cs="Times New Roman"/>
                <w:b/>
                <w:color w:val="000000" w:themeColor="text1"/>
                <w:szCs w:val="24"/>
              </w:rPr>
              <w:t>环保治理设施验收内容</w:t>
            </w:r>
          </w:p>
          <w:tbl>
            <w:tblPr>
              <w:tblStyle w:val="27"/>
              <w:tblW w:w="81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680"/>
              <w:gridCol w:w="5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782" w:type="dxa"/>
                  <w:vAlign w:val="center"/>
                </w:tcPr>
                <w:p>
                  <w:pPr>
                    <w:pStyle w:val="101"/>
                    <w:adjustRightInd w:val="0"/>
                    <w:snapToGrid w:val="0"/>
                    <w:spacing w:line="240" w:lineRule="auto"/>
                    <w:ind w:firstLine="0" w:firstLineChars="0"/>
                    <w:jc w:val="center"/>
                    <w:rPr>
                      <w:rFonts w:cs="Times New Roman"/>
                      <w:b/>
                      <w:color w:val="000000" w:themeColor="text1"/>
                      <w:sz w:val="21"/>
                      <w:szCs w:val="21"/>
                    </w:rPr>
                  </w:pPr>
                  <w:r>
                    <w:rPr>
                      <w:rFonts w:hAnsi="宋体" w:cs="Times New Roman"/>
                      <w:b/>
                      <w:color w:val="000000" w:themeColor="text1"/>
                      <w:sz w:val="21"/>
                      <w:szCs w:val="21"/>
                    </w:rPr>
                    <w:t>序号</w:t>
                  </w:r>
                </w:p>
              </w:tc>
              <w:tc>
                <w:tcPr>
                  <w:tcW w:w="1680" w:type="dxa"/>
                  <w:vAlign w:val="center"/>
                </w:tcPr>
                <w:p>
                  <w:pPr>
                    <w:pStyle w:val="101"/>
                    <w:adjustRightInd w:val="0"/>
                    <w:snapToGrid w:val="0"/>
                    <w:spacing w:line="240" w:lineRule="auto"/>
                    <w:ind w:firstLine="0" w:firstLineChars="0"/>
                    <w:jc w:val="center"/>
                    <w:rPr>
                      <w:rFonts w:cs="Times New Roman"/>
                      <w:b/>
                      <w:color w:val="000000" w:themeColor="text1"/>
                      <w:sz w:val="21"/>
                      <w:szCs w:val="21"/>
                    </w:rPr>
                  </w:pPr>
                  <w:r>
                    <w:rPr>
                      <w:rFonts w:hAnsi="宋体" w:cs="Times New Roman"/>
                      <w:b/>
                      <w:color w:val="000000" w:themeColor="text1"/>
                      <w:sz w:val="21"/>
                      <w:szCs w:val="21"/>
                    </w:rPr>
                    <w:t>验收项目</w:t>
                  </w:r>
                </w:p>
              </w:tc>
              <w:tc>
                <w:tcPr>
                  <w:tcW w:w="5732" w:type="dxa"/>
                  <w:vAlign w:val="center"/>
                </w:tcPr>
                <w:p>
                  <w:pPr>
                    <w:pStyle w:val="101"/>
                    <w:adjustRightInd w:val="0"/>
                    <w:snapToGrid w:val="0"/>
                    <w:spacing w:line="240" w:lineRule="auto"/>
                    <w:ind w:firstLine="0" w:firstLineChars="0"/>
                    <w:jc w:val="center"/>
                    <w:rPr>
                      <w:rFonts w:cs="Times New Roman"/>
                      <w:b/>
                      <w:color w:val="000000" w:themeColor="text1"/>
                      <w:sz w:val="21"/>
                      <w:szCs w:val="21"/>
                    </w:rPr>
                  </w:pPr>
                  <w:r>
                    <w:rPr>
                      <w:rFonts w:hAnsi="宋体" w:cs="Times New Roman"/>
                      <w:b/>
                      <w:color w:val="000000" w:themeColor="text1"/>
                      <w:sz w:val="21"/>
                      <w:szCs w:val="21"/>
                    </w:rPr>
                    <w:t>验收内容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782"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1</w:t>
                  </w:r>
                </w:p>
              </w:tc>
              <w:tc>
                <w:tcPr>
                  <w:tcW w:w="1680"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hAnsi="宋体" w:cs="Times New Roman"/>
                      <w:color w:val="000000" w:themeColor="text1"/>
                      <w:sz w:val="21"/>
                      <w:szCs w:val="21"/>
                    </w:rPr>
                    <w:t>清洗废水</w:t>
                  </w:r>
                </w:p>
              </w:tc>
              <w:tc>
                <w:tcPr>
                  <w:tcW w:w="5732" w:type="dxa"/>
                  <w:vAlign w:val="center"/>
                </w:tcPr>
                <w:p>
                  <w:pPr>
                    <w:adjustRightInd w:val="0"/>
                    <w:snapToGrid w:val="0"/>
                    <w:rPr>
                      <w:rFonts w:ascii="Times New Roman" w:hAnsi="Times New Roman"/>
                      <w:color w:val="000000" w:themeColor="text1"/>
                      <w:szCs w:val="21"/>
                    </w:rPr>
                  </w:pPr>
                  <w:r>
                    <w:rPr>
                      <w:rFonts w:hAnsi="宋体"/>
                      <w:color w:val="000000" w:themeColor="text1"/>
                    </w:rPr>
                    <w:t>是否设置了</w:t>
                  </w:r>
                  <w:r>
                    <w:rPr>
                      <w:rFonts w:hint="eastAsia" w:hAnsi="宋体"/>
                      <w:color w:val="000000" w:themeColor="text1"/>
                    </w:rPr>
                    <w:t>三级沉淀池+清水池</w:t>
                  </w:r>
                  <w:r>
                    <w:rPr>
                      <w:rFonts w:hAnsi="宋体"/>
                      <w:color w:val="000000" w:themeColor="text1"/>
                      <w:szCs w:val="21"/>
                    </w:rPr>
                    <w:t>等</w:t>
                  </w:r>
                  <w:r>
                    <w:rPr>
                      <w:rFonts w:hint="eastAsia" w:hAnsi="宋体"/>
                      <w:color w:val="000000" w:themeColor="text1"/>
                      <w:szCs w:val="21"/>
                    </w:rPr>
                    <w:t>，</w:t>
                  </w:r>
                  <w:r>
                    <w:rPr>
                      <w:rFonts w:hAnsi="宋体"/>
                      <w:color w:val="000000" w:themeColor="text1"/>
                      <w:szCs w:val="21"/>
                    </w:rPr>
                    <w:t>是否全部回用不外排</w:t>
                  </w:r>
                  <w:r>
                    <w:rPr>
                      <w:rFonts w:ascii="Times New Roman" w:hAnsi="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782"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2</w:t>
                  </w:r>
                </w:p>
              </w:tc>
              <w:tc>
                <w:tcPr>
                  <w:tcW w:w="1680"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hAnsi="宋体" w:cs="Times New Roman"/>
                      <w:color w:val="000000" w:themeColor="text1"/>
                      <w:sz w:val="21"/>
                      <w:szCs w:val="21"/>
                    </w:rPr>
                    <w:t>发电机废气</w:t>
                  </w:r>
                </w:p>
                <w:p>
                  <w:pPr>
                    <w:pStyle w:val="101"/>
                    <w:adjustRightInd w:val="0"/>
                    <w:snapToGrid w:val="0"/>
                    <w:spacing w:line="240" w:lineRule="auto"/>
                    <w:ind w:firstLine="0" w:firstLineChars="0"/>
                    <w:jc w:val="center"/>
                    <w:rPr>
                      <w:rFonts w:cs="Times New Roman"/>
                      <w:color w:val="000000" w:themeColor="text1"/>
                      <w:sz w:val="21"/>
                      <w:szCs w:val="21"/>
                    </w:rPr>
                  </w:pPr>
                  <w:r>
                    <w:rPr>
                      <w:rFonts w:hAnsi="宋体" w:cs="Times New Roman"/>
                      <w:color w:val="000000" w:themeColor="text1"/>
                      <w:sz w:val="21"/>
                      <w:szCs w:val="21"/>
                    </w:rPr>
                    <w:t>排气口</w:t>
                  </w:r>
                </w:p>
              </w:tc>
              <w:tc>
                <w:tcPr>
                  <w:tcW w:w="5732" w:type="dxa"/>
                  <w:vAlign w:val="center"/>
                </w:tcPr>
                <w:p>
                  <w:pPr>
                    <w:pStyle w:val="101"/>
                    <w:adjustRightInd w:val="0"/>
                    <w:snapToGrid w:val="0"/>
                    <w:spacing w:line="240" w:lineRule="auto"/>
                    <w:ind w:firstLine="0" w:firstLineChars="0"/>
                    <w:rPr>
                      <w:rFonts w:cs="Times New Roman"/>
                      <w:color w:val="000000" w:themeColor="text1"/>
                      <w:sz w:val="21"/>
                      <w:szCs w:val="21"/>
                    </w:rPr>
                  </w:pPr>
                  <w:r>
                    <w:rPr>
                      <w:rFonts w:hAnsi="宋体" w:cs="Times New Roman"/>
                      <w:color w:val="000000" w:themeColor="text1"/>
                      <w:sz w:val="21"/>
                      <w:szCs w:val="21"/>
                    </w:rPr>
                    <w:t>是否采用低含硫燃料，废气排放速率和浓度等是否达标排放。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782"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3</w:t>
                  </w:r>
                </w:p>
              </w:tc>
              <w:tc>
                <w:tcPr>
                  <w:tcW w:w="1680" w:type="dxa"/>
                  <w:vAlign w:val="center"/>
                </w:tcPr>
                <w:p>
                  <w:pPr>
                    <w:pStyle w:val="101"/>
                    <w:adjustRightInd w:val="0"/>
                    <w:snapToGrid w:val="0"/>
                    <w:spacing w:line="240" w:lineRule="auto"/>
                    <w:ind w:firstLine="0" w:firstLineChars="0"/>
                    <w:jc w:val="center"/>
                    <w:rPr>
                      <w:rFonts w:hAnsi="宋体" w:cs="Times New Roman"/>
                      <w:color w:val="000000" w:themeColor="text1"/>
                      <w:sz w:val="21"/>
                      <w:szCs w:val="21"/>
                    </w:rPr>
                  </w:pPr>
                  <w:r>
                    <w:rPr>
                      <w:rFonts w:hAnsi="宋体"/>
                      <w:bCs/>
                      <w:color w:val="000000" w:themeColor="text1"/>
                      <w:sz w:val="21"/>
                      <w:szCs w:val="21"/>
                    </w:rPr>
                    <w:t>厨房油烟排放口</w:t>
                  </w:r>
                </w:p>
              </w:tc>
              <w:tc>
                <w:tcPr>
                  <w:tcW w:w="5732" w:type="dxa"/>
                  <w:vAlign w:val="center"/>
                </w:tcPr>
                <w:p>
                  <w:pPr>
                    <w:pStyle w:val="101"/>
                    <w:adjustRightInd w:val="0"/>
                    <w:snapToGrid w:val="0"/>
                    <w:spacing w:line="240" w:lineRule="auto"/>
                    <w:ind w:firstLine="0" w:firstLineChars="0"/>
                    <w:rPr>
                      <w:rFonts w:hAnsi="宋体" w:cs="Times New Roman"/>
                      <w:color w:val="000000" w:themeColor="text1"/>
                      <w:sz w:val="21"/>
                      <w:szCs w:val="21"/>
                    </w:rPr>
                  </w:pPr>
                  <w:r>
                    <w:rPr>
                      <w:rFonts w:hAnsi="宋体" w:cs="Times New Roman"/>
                      <w:color w:val="000000" w:themeColor="text1"/>
                      <w:sz w:val="21"/>
                      <w:szCs w:val="21"/>
                    </w:rPr>
                    <w:t>是否设置油烟净化装置</w:t>
                  </w:r>
                  <w:r>
                    <w:rPr>
                      <w:rFonts w:hint="eastAsia" w:hAnsi="宋体" w:cs="Times New Roman"/>
                      <w:color w:val="000000" w:themeColor="text1"/>
                      <w:sz w:val="21"/>
                      <w:szCs w:val="21"/>
                    </w:rPr>
                    <w:t>，</w:t>
                  </w:r>
                  <w:r>
                    <w:rPr>
                      <w:rFonts w:hAnsi="宋体" w:cs="Times New Roman"/>
                      <w:color w:val="000000" w:themeColor="text1"/>
                      <w:sz w:val="21"/>
                      <w:szCs w:val="21"/>
                    </w:rPr>
                    <w:t>废气排放浓度等是否达标排放</w:t>
                  </w:r>
                  <w:r>
                    <w:rPr>
                      <w:rFonts w:hint="eastAsia" w:hAnsi="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782"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4</w:t>
                  </w:r>
                </w:p>
              </w:tc>
              <w:tc>
                <w:tcPr>
                  <w:tcW w:w="1680" w:type="dxa"/>
                  <w:vAlign w:val="center"/>
                </w:tcPr>
                <w:p>
                  <w:pPr>
                    <w:pStyle w:val="101"/>
                    <w:adjustRightInd w:val="0"/>
                    <w:snapToGrid w:val="0"/>
                    <w:spacing w:line="240" w:lineRule="auto"/>
                    <w:ind w:firstLine="0" w:firstLineChars="0"/>
                    <w:jc w:val="center"/>
                    <w:rPr>
                      <w:rFonts w:hAnsi="宋体"/>
                      <w:bCs/>
                      <w:color w:val="000000" w:themeColor="text1"/>
                      <w:sz w:val="21"/>
                      <w:szCs w:val="21"/>
                    </w:rPr>
                  </w:pPr>
                  <w:r>
                    <w:rPr>
                      <w:rFonts w:hAnsi="宋体"/>
                      <w:bCs/>
                      <w:color w:val="000000" w:themeColor="text1"/>
                      <w:sz w:val="21"/>
                      <w:szCs w:val="21"/>
                    </w:rPr>
                    <w:t>粉尘废气治理</w:t>
                  </w:r>
                </w:p>
              </w:tc>
              <w:tc>
                <w:tcPr>
                  <w:tcW w:w="5732" w:type="dxa"/>
                  <w:vAlign w:val="center"/>
                </w:tcPr>
                <w:p>
                  <w:pPr>
                    <w:pStyle w:val="101"/>
                    <w:adjustRightInd w:val="0"/>
                    <w:snapToGrid w:val="0"/>
                    <w:spacing w:line="240" w:lineRule="auto"/>
                    <w:ind w:firstLine="0" w:firstLineChars="0"/>
                    <w:rPr>
                      <w:rFonts w:hAnsi="宋体" w:cs="Times New Roman"/>
                      <w:color w:val="000000" w:themeColor="text1"/>
                      <w:sz w:val="21"/>
                      <w:szCs w:val="21"/>
                    </w:rPr>
                  </w:pPr>
                  <w:r>
                    <w:rPr>
                      <w:rFonts w:hint="eastAsia" w:hAnsi="宋体" w:cs="Times New Roman"/>
                      <w:color w:val="000000" w:themeColor="text1"/>
                      <w:sz w:val="21"/>
                      <w:szCs w:val="21"/>
                    </w:rPr>
                    <w:t>是否设置了旋风+布袋除尘器处理粉尘废气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782"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5</w:t>
                  </w:r>
                </w:p>
              </w:tc>
              <w:tc>
                <w:tcPr>
                  <w:tcW w:w="1680"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hAnsi="宋体" w:cs="Times New Roman"/>
                      <w:color w:val="000000" w:themeColor="text1"/>
                      <w:sz w:val="21"/>
                      <w:szCs w:val="21"/>
                    </w:rPr>
                    <w:t>生活污水</w:t>
                  </w:r>
                </w:p>
              </w:tc>
              <w:tc>
                <w:tcPr>
                  <w:tcW w:w="5732" w:type="dxa"/>
                  <w:vAlign w:val="center"/>
                </w:tcPr>
                <w:p>
                  <w:pPr>
                    <w:pStyle w:val="101"/>
                    <w:adjustRightInd w:val="0"/>
                    <w:snapToGrid w:val="0"/>
                    <w:spacing w:line="240" w:lineRule="auto"/>
                    <w:ind w:firstLine="0" w:firstLineChars="0"/>
                    <w:jc w:val="both"/>
                    <w:rPr>
                      <w:rFonts w:cs="Times New Roman"/>
                      <w:color w:val="000000" w:themeColor="text1"/>
                      <w:sz w:val="21"/>
                      <w:szCs w:val="21"/>
                    </w:rPr>
                  </w:pPr>
                  <w:r>
                    <w:rPr>
                      <w:rFonts w:hAnsi="宋体" w:cs="Times New Roman"/>
                      <w:color w:val="000000" w:themeColor="text1"/>
                      <w:sz w:val="21"/>
                      <w:szCs w:val="21"/>
                    </w:rPr>
                    <w:t>是否经化粪池、隔油池预处理；是否</w:t>
                  </w:r>
                  <w:r>
                    <w:rPr>
                      <w:rFonts w:hint="eastAsia" w:hAnsi="宋体" w:cs="Times New Roman"/>
                      <w:color w:val="000000" w:themeColor="text1"/>
                      <w:sz w:val="21"/>
                      <w:szCs w:val="21"/>
                    </w:rPr>
                    <w:t>建设</w:t>
                  </w:r>
                  <w:r>
                    <w:rPr>
                      <w:rFonts w:hAnsi="宋体" w:cs="Times New Roman"/>
                      <w:color w:val="000000" w:themeColor="text1"/>
                      <w:sz w:val="21"/>
                      <w:szCs w:val="21"/>
                    </w:rPr>
                    <w:t>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782"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hint="eastAsia" w:cs="Times New Roman"/>
                      <w:color w:val="000000" w:themeColor="text1"/>
                      <w:sz w:val="21"/>
                      <w:szCs w:val="21"/>
                    </w:rPr>
                    <w:t>6</w:t>
                  </w:r>
                </w:p>
              </w:tc>
              <w:tc>
                <w:tcPr>
                  <w:tcW w:w="1680"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hAnsi="宋体" w:cs="Times New Roman"/>
                      <w:color w:val="000000" w:themeColor="text1"/>
                      <w:sz w:val="21"/>
                      <w:szCs w:val="21"/>
                    </w:rPr>
                    <w:t>噪声治理</w:t>
                  </w:r>
                </w:p>
              </w:tc>
              <w:tc>
                <w:tcPr>
                  <w:tcW w:w="5732" w:type="dxa"/>
                  <w:vAlign w:val="center"/>
                </w:tcPr>
                <w:p>
                  <w:pPr>
                    <w:pStyle w:val="101"/>
                    <w:adjustRightInd w:val="0"/>
                    <w:snapToGrid w:val="0"/>
                    <w:spacing w:line="240" w:lineRule="auto"/>
                    <w:ind w:firstLine="0" w:firstLineChars="0"/>
                    <w:rPr>
                      <w:rFonts w:cs="Times New Roman"/>
                      <w:color w:val="000000" w:themeColor="text1"/>
                      <w:sz w:val="21"/>
                      <w:szCs w:val="21"/>
                    </w:rPr>
                  </w:pPr>
                  <w:r>
                    <w:rPr>
                      <w:rFonts w:hAnsi="宋体" w:cs="Times New Roman"/>
                      <w:color w:val="000000" w:themeColor="text1"/>
                      <w:sz w:val="21"/>
                      <w:szCs w:val="21"/>
                    </w:rPr>
                    <w:t>区界噪声是否达标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782"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hint="eastAsia" w:cs="Times New Roman"/>
                      <w:color w:val="000000" w:themeColor="text1"/>
                      <w:sz w:val="21"/>
                      <w:szCs w:val="21"/>
                    </w:rPr>
                    <w:t>7</w:t>
                  </w:r>
                </w:p>
              </w:tc>
              <w:tc>
                <w:tcPr>
                  <w:tcW w:w="1680" w:type="dxa"/>
                  <w:vAlign w:val="center"/>
                </w:tcPr>
                <w:p>
                  <w:pPr>
                    <w:pStyle w:val="101"/>
                    <w:adjustRightInd w:val="0"/>
                    <w:snapToGrid w:val="0"/>
                    <w:spacing w:line="240" w:lineRule="auto"/>
                    <w:ind w:firstLine="0" w:firstLineChars="0"/>
                    <w:jc w:val="center"/>
                    <w:rPr>
                      <w:rFonts w:cs="Times New Roman"/>
                      <w:color w:val="000000" w:themeColor="text1"/>
                      <w:sz w:val="21"/>
                      <w:szCs w:val="21"/>
                    </w:rPr>
                  </w:pPr>
                  <w:r>
                    <w:rPr>
                      <w:rFonts w:hAnsi="宋体" w:cs="Times New Roman"/>
                      <w:color w:val="000000" w:themeColor="text1"/>
                      <w:sz w:val="21"/>
                      <w:szCs w:val="21"/>
                    </w:rPr>
                    <w:t>固废处置</w:t>
                  </w:r>
                </w:p>
              </w:tc>
              <w:tc>
                <w:tcPr>
                  <w:tcW w:w="5732" w:type="dxa"/>
                  <w:vAlign w:val="center"/>
                </w:tcPr>
                <w:p>
                  <w:pPr>
                    <w:pStyle w:val="101"/>
                    <w:adjustRightInd w:val="0"/>
                    <w:snapToGrid w:val="0"/>
                    <w:spacing w:line="240" w:lineRule="auto"/>
                    <w:ind w:firstLine="0" w:firstLineChars="0"/>
                    <w:jc w:val="both"/>
                    <w:rPr>
                      <w:rFonts w:cs="Times New Roman"/>
                      <w:color w:val="000000" w:themeColor="text1"/>
                      <w:sz w:val="21"/>
                      <w:szCs w:val="21"/>
                    </w:rPr>
                  </w:pPr>
                  <w:r>
                    <w:rPr>
                      <w:rFonts w:hAnsi="宋体" w:cs="Times New Roman"/>
                      <w:color w:val="000000" w:themeColor="text1"/>
                      <w:sz w:val="21"/>
                      <w:szCs w:val="21"/>
                    </w:rPr>
                    <w:t>是否建立配套的生活垃圾收集系统</w:t>
                  </w:r>
                </w:p>
              </w:tc>
            </w:tr>
          </w:tbl>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p>
            <w:pPr>
              <w:tabs>
                <w:tab w:val="left" w:pos="-48"/>
                <w:tab w:val="left" w:pos="6690"/>
              </w:tabs>
              <w:snapToGrid w:val="0"/>
              <w:spacing w:line="360" w:lineRule="auto"/>
              <w:rPr>
                <w:rFonts w:ascii="Times New Roman" w:hAnsi="Times New Roman"/>
                <w:color w:val="FF0000"/>
                <w:sz w:val="24"/>
                <w:szCs w:val="24"/>
              </w:rPr>
            </w:pPr>
          </w:p>
        </w:tc>
      </w:tr>
    </w:tbl>
    <w:p>
      <w:pPr>
        <w:pStyle w:val="2"/>
        <w:jc w:val="both"/>
        <w:rPr>
          <w:rFonts w:ascii="Times New Roman" w:hAnsi="Times New Roman"/>
          <w:b/>
          <w:color w:val="000000" w:themeColor="text1"/>
          <w:sz w:val="28"/>
        </w:rPr>
      </w:pPr>
      <w:r>
        <w:rPr>
          <w:rFonts w:ascii="Times New Roman" w:hAnsi="宋体"/>
          <w:b/>
          <w:color w:val="000000" w:themeColor="text1"/>
          <w:sz w:val="28"/>
        </w:rPr>
        <w:t>建设项目拟采取的防治措施及预期治理效果</w:t>
      </w:r>
    </w:p>
    <w:tbl>
      <w:tblPr>
        <w:tblStyle w:val="27"/>
        <w:tblW w:w="8881" w:type="dxa"/>
        <w:jc w:val="center"/>
        <w:tblInd w:w="36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5"/>
        <w:gridCol w:w="420"/>
        <w:gridCol w:w="1155"/>
        <w:gridCol w:w="1680"/>
        <w:gridCol w:w="3045"/>
        <w:gridCol w:w="18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51" w:hRule="atLeast"/>
          <w:jc w:val="center"/>
        </w:trPr>
        <w:tc>
          <w:tcPr>
            <w:tcW w:w="705" w:type="dxa"/>
            <w:tcBorders>
              <w:top w:val="single" w:color="auto" w:sz="12" w:space="0"/>
              <w:bottom w:val="single" w:color="auto" w:sz="6" w:space="0"/>
              <w:tl2br w:val="single" w:color="auto" w:sz="6" w:space="0"/>
            </w:tcBorders>
            <w:vAlign w:val="center"/>
          </w:tcPr>
          <w:p>
            <w:pPr>
              <w:jc w:val="center"/>
              <w:rPr>
                <w:rFonts w:ascii="Times New Roman" w:hAnsi="Times New Roman"/>
                <w:b/>
                <w:color w:val="000000" w:themeColor="text1"/>
                <w:sz w:val="24"/>
                <w:szCs w:val="24"/>
              </w:rPr>
            </w:pPr>
            <w:bookmarkStart w:id="16" w:name="_Toc236472104"/>
            <w:bookmarkStart w:id="17" w:name="_Toc240863959"/>
            <w:r>
              <w:rPr>
                <w:rFonts w:ascii="Times New Roman" w:hAnsi="Times New Roman"/>
                <w:b/>
                <w:color w:val="000000" w:themeColor="text1"/>
                <w:sz w:val="24"/>
                <w:szCs w:val="24"/>
              </w:rPr>
              <w:t>内容</w:t>
            </w:r>
          </w:p>
          <w:p>
            <w:pPr>
              <w:rPr>
                <w:rFonts w:ascii="Times New Roman" w:hAnsi="Times New Roman"/>
                <w:b/>
                <w:color w:val="000000" w:themeColor="text1"/>
                <w:sz w:val="24"/>
                <w:szCs w:val="24"/>
              </w:rPr>
            </w:pPr>
            <w:r>
              <w:rPr>
                <w:rFonts w:ascii="Times New Roman" w:hAnsi="Times New Roman"/>
                <w:b/>
                <w:color w:val="000000" w:themeColor="text1"/>
                <w:sz w:val="24"/>
                <w:szCs w:val="24"/>
              </w:rPr>
              <w:t>类型</w:t>
            </w:r>
          </w:p>
        </w:tc>
        <w:tc>
          <w:tcPr>
            <w:tcW w:w="1575" w:type="dxa"/>
            <w:gridSpan w:val="2"/>
            <w:tcBorders>
              <w:bottom w:val="single" w:color="auto" w:sz="4" w:space="0"/>
              <w:right w:val="single" w:color="auto" w:sz="4" w:space="0"/>
            </w:tcBorders>
            <w:vAlign w:val="center"/>
          </w:tcPr>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排放源</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(编号)</w:t>
            </w:r>
          </w:p>
        </w:tc>
        <w:tc>
          <w:tcPr>
            <w:tcW w:w="1680" w:type="dxa"/>
            <w:tcBorders>
              <w:left w:val="single" w:color="auto" w:sz="4" w:space="0"/>
              <w:bottom w:val="single" w:color="auto" w:sz="4" w:space="0"/>
              <w:right w:val="single" w:color="auto" w:sz="4" w:space="0"/>
            </w:tcBorders>
            <w:vAlign w:val="center"/>
          </w:tcPr>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污染物名称</w:t>
            </w:r>
          </w:p>
        </w:tc>
        <w:tc>
          <w:tcPr>
            <w:tcW w:w="3045" w:type="dxa"/>
            <w:tcBorders>
              <w:left w:val="single" w:color="auto" w:sz="4" w:space="0"/>
              <w:bottom w:val="single" w:color="auto" w:sz="4" w:space="0"/>
              <w:right w:val="single" w:color="auto" w:sz="4" w:space="0"/>
            </w:tcBorders>
            <w:vAlign w:val="center"/>
          </w:tcPr>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防治措施</w:t>
            </w:r>
          </w:p>
        </w:tc>
        <w:tc>
          <w:tcPr>
            <w:tcW w:w="1876" w:type="dxa"/>
            <w:tcBorders>
              <w:left w:val="single" w:color="auto" w:sz="4" w:space="0"/>
              <w:bottom w:val="single" w:color="auto" w:sz="6" w:space="0"/>
            </w:tcBorders>
            <w:vAlign w:val="center"/>
          </w:tcPr>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8" w:hRule="atLeast"/>
          <w:jc w:val="center"/>
        </w:trPr>
        <w:tc>
          <w:tcPr>
            <w:tcW w:w="705" w:type="dxa"/>
            <w:vMerge w:val="restart"/>
            <w:tcBorders>
              <w:top w:val="single" w:color="auto" w:sz="6" w:space="0"/>
            </w:tcBorders>
            <w:vAlign w:val="center"/>
          </w:tcPr>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大</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气</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污</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染</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物</w:t>
            </w:r>
          </w:p>
        </w:tc>
        <w:tc>
          <w:tcPr>
            <w:tcW w:w="420" w:type="dxa"/>
            <w:vMerge w:val="restart"/>
            <w:tcBorders>
              <w:top w:val="single" w:color="auto" w:sz="6" w:space="0"/>
              <w:right w:val="single" w:color="auto" w:sz="4" w:space="0"/>
            </w:tcBorders>
            <w:vAlign w:val="center"/>
          </w:tcPr>
          <w:p>
            <w:pPr>
              <w:pStyle w:val="97"/>
              <w:spacing w:before="0" w:beforeAutospacing="0"/>
              <w:rPr>
                <w:color w:val="000000" w:themeColor="text1"/>
                <w:sz w:val="21"/>
                <w:szCs w:val="21"/>
              </w:rPr>
            </w:pPr>
            <w:r>
              <w:rPr>
                <w:rFonts w:hint="eastAsia"/>
                <w:color w:val="000000" w:themeColor="text1"/>
                <w:sz w:val="21"/>
                <w:szCs w:val="21"/>
              </w:rPr>
              <w:t>施工期</w:t>
            </w:r>
          </w:p>
        </w:tc>
        <w:tc>
          <w:tcPr>
            <w:tcW w:w="1155" w:type="dxa"/>
            <w:tcBorders>
              <w:top w:val="single" w:color="auto" w:sz="6"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施工扬尘</w:t>
            </w:r>
          </w:p>
        </w:tc>
        <w:tc>
          <w:tcPr>
            <w:tcW w:w="1680" w:type="dxa"/>
            <w:tcBorders>
              <w:top w:val="single" w:color="auto" w:sz="6" w:space="0"/>
              <w:left w:val="single" w:color="auto" w:sz="4" w:space="0"/>
              <w:bottom w:val="single" w:color="auto" w:sz="4" w:space="0"/>
              <w:right w:val="single" w:color="auto" w:sz="4" w:space="0"/>
            </w:tcBorders>
            <w:shd w:val="clear" w:color="auto" w:fill="auto"/>
            <w:vAlign w:val="center"/>
          </w:tcPr>
          <w:p>
            <w:pPr>
              <w:jc w:val="center"/>
              <w:rPr>
                <w:rFonts w:ascii="宋体" w:hAnsi="宋体"/>
                <w:color w:val="000000" w:themeColor="text1"/>
                <w:szCs w:val="21"/>
              </w:rPr>
            </w:pPr>
            <w:r>
              <w:rPr>
                <w:rFonts w:ascii="Times New Roman" w:hAnsi="宋体"/>
                <w:color w:val="000000" w:themeColor="text1"/>
                <w:szCs w:val="21"/>
              </w:rPr>
              <w:t>TSP</w:t>
            </w:r>
          </w:p>
        </w:tc>
        <w:tc>
          <w:tcPr>
            <w:tcW w:w="3045" w:type="dxa"/>
            <w:tcBorders>
              <w:top w:val="single" w:color="auto" w:sz="6" w:space="0"/>
              <w:left w:val="single" w:color="auto" w:sz="4" w:space="0"/>
              <w:bottom w:val="single" w:color="auto" w:sz="4" w:space="0"/>
              <w:right w:val="single" w:color="auto" w:sz="4" w:space="0"/>
            </w:tcBorders>
            <w:shd w:val="clear" w:color="auto" w:fill="auto"/>
            <w:vAlign w:val="center"/>
          </w:tcPr>
          <w:p>
            <w:pPr>
              <w:rPr>
                <w:rFonts w:ascii="Times New Roman"/>
                <w:color w:val="FF0000"/>
                <w:szCs w:val="21"/>
              </w:rPr>
            </w:pPr>
            <w:r>
              <w:rPr>
                <w:rFonts w:hAnsi="宋体"/>
                <w:color w:val="FF0000"/>
                <w:szCs w:val="21"/>
              </w:rPr>
              <w:t>在施工期间，应采取积极的措施来尽量减少扬尘的产生，如喷水，保持湿润，及时外运，同时建设场地四周应设有围护装备（详见废气污染防治措施分析）</w:t>
            </w:r>
          </w:p>
        </w:tc>
        <w:tc>
          <w:tcPr>
            <w:tcW w:w="1876" w:type="dxa"/>
            <w:vMerge w:val="restart"/>
            <w:tcBorders>
              <w:top w:val="single" w:color="auto" w:sz="6" w:space="0"/>
              <w:left w:val="single" w:color="auto" w:sz="4" w:space="0"/>
            </w:tcBorders>
            <w:shd w:val="clear" w:color="auto" w:fill="auto"/>
            <w:vAlign w:val="center"/>
          </w:tcPr>
          <w:p>
            <w:pPr>
              <w:adjustRightInd w:val="0"/>
              <w:snapToGrid w:val="0"/>
              <w:rPr>
                <w:rFonts w:ascii="Times New Roman"/>
                <w:color w:val="000000" w:themeColor="text1"/>
                <w:szCs w:val="21"/>
              </w:rPr>
            </w:pPr>
            <w:r>
              <w:rPr>
                <w:rFonts w:hint="eastAsia"/>
                <w:color w:val="000000" w:themeColor="text1"/>
                <w:kern w:val="0"/>
                <w:szCs w:val="21"/>
              </w:rPr>
              <w:t>随着施工的结束而结束排放，对周边环境影响不大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2" w:hRule="atLeast"/>
          <w:jc w:val="center"/>
        </w:trPr>
        <w:tc>
          <w:tcPr>
            <w:tcW w:w="705" w:type="dxa"/>
            <w:vMerge w:val="continue"/>
            <w:vAlign w:val="center"/>
          </w:tcPr>
          <w:p>
            <w:pPr>
              <w:jc w:val="center"/>
              <w:rPr>
                <w:rFonts w:ascii="Times New Roman" w:hAnsi="Times New Roman"/>
                <w:b/>
                <w:color w:val="000000" w:themeColor="text1"/>
                <w:sz w:val="24"/>
                <w:szCs w:val="24"/>
              </w:rPr>
            </w:pPr>
          </w:p>
        </w:tc>
        <w:tc>
          <w:tcPr>
            <w:tcW w:w="420" w:type="dxa"/>
            <w:vMerge w:val="continue"/>
            <w:tcBorders>
              <w:bottom w:val="single" w:color="auto" w:sz="4" w:space="0"/>
              <w:right w:val="single" w:color="auto" w:sz="4" w:space="0"/>
            </w:tcBorders>
            <w:vAlign w:val="center"/>
          </w:tcPr>
          <w:p>
            <w:pPr>
              <w:pStyle w:val="97"/>
              <w:spacing w:before="0" w:beforeAutospacing="0"/>
              <w:rPr>
                <w:color w:val="000000" w:themeColor="text1"/>
                <w:sz w:val="21"/>
                <w:szCs w:val="21"/>
              </w:rPr>
            </w:pPr>
          </w:p>
        </w:tc>
        <w:tc>
          <w:tcPr>
            <w:tcW w:w="11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rPr>
            </w:pPr>
            <w:r>
              <w:rPr>
                <w:rFonts w:hint="eastAsia"/>
                <w:color w:val="000000" w:themeColor="text1"/>
                <w:kern w:val="0"/>
                <w:szCs w:val="21"/>
              </w:rPr>
              <w:t>燃料</w:t>
            </w:r>
            <w:r>
              <w:rPr>
                <w:color w:val="000000" w:themeColor="text1"/>
                <w:kern w:val="0"/>
                <w:szCs w:val="21"/>
              </w:rPr>
              <w:t>废气</w:t>
            </w:r>
          </w:p>
        </w:tc>
        <w:tc>
          <w:tcPr>
            <w:tcW w:w="1680" w:type="dxa"/>
            <w:tcBorders>
              <w:top w:val="single" w:color="auto" w:sz="4" w:space="0"/>
              <w:left w:val="single" w:color="auto" w:sz="4" w:space="0"/>
              <w:right w:val="single" w:color="auto" w:sz="4" w:space="0"/>
            </w:tcBorders>
            <w:shd w:val="clear" w:color="auto" w:fill="auto"/>
            <w:vAlign w:val="center"/>
          </w:tcPr>
          <w:p>
            <w:pPr>
              <w:jc w:val="center"/>
              <w:rPr>
                <w:rFonts w:ascii="宋体" w:hAnsi="宋体"/>
                <w:color w:val="000000" w:themeColor="text1"/>
                <w:szCs w:val="21"/>
              </w:rPr>
            </w:pPr>
            <w:r>
              <w:rPr>
                <w:rFonts w:ascii="Times New Roman" w:hAnsi="宋体"/>
                <w:color w:val="000000" w:themeColor="text1"/>
                <w:szCs w:val="21"/>
              </w:rPr>
              <w:t>CO、非甲烷烃及NO</w:t>
            </w:r>
            <w:r>
              <w:rPr>
                <w:rFonts w:ascii="Times New Roman" w:hAnsi="宋体"/>
                <w:color w:val="000000" w:themeColor="text1"/>
                <w:szCs w:val="21"/>
                <w:vertAlign w:val="subscript"/>
              </w:rPr>
              <w:t>X</w:t>
            </w:r>
          </w:p>
        </w:tc>
        <w:tc>
          <w:tcPr>
            <w:tcW w:w="3045" w:type="dxa"/>
            <w:tcBorders>
              <w:top w:val="single" w:color="auto" w:sz="4" w:space="0"/>
              <w:left w:val="single" w:color="auto" w:sz="4" w:space="0"/>
              <w:right w:val="single" w:color="auto" w:sz="4" w:space="0"/>
            </w:tcBorders>
            <w:shd w:val="clear" w:color="auto" w:fill="auto"/>
            <w:vAlign w:val="center"/>
          </w:tcPr>
          <w:p>
            <w:pPr>
              <w:rPr>
                <w:color w:val="000000" w:themeColor="text1"/>
                <w:kern w:val="0"/>
                <w:szCs w:val="21"/>
              </w:rPr>
            </w:pPr>
            <w:r>
              <w:rPr>
                <w:rFonts w:ascii="Times New Roman" w:hAnsi="宋体"/>
                <w:szCs w:val="21"/>
              </w:rPr>
              <w:t>选用含硫量低的0#优质轻柴油，并加装主动再生式柴油颗粒捕集器</w:t>
            </w:r>
          </w:p>
        </w:tc>
        <w:tc>
          <w:tcPr>
            <w:tcW w:w="1876" w:type="dxa"/>
            <w:vMerge w:val="continue"/>
            <w:tcBorders>
              <w:left w:val="single" w:color="auto" w:sz="4" w:space="0"/>
            </w:tcBorders>
            <w:shd w:val="clear" w:color="auto" w:fill="auto"/>
            <w:vAlign w:val="center"/>
          </w:tcPr>
          <w:p>
            <w:pPr>
              <w:adjustRightInd w:val="0"/>
              <w:snapToGrid w:val="0"/>
              <w:rPr>
                <w:rFonts w:ascii="Times New Roman"/>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2" w:hRule="atLeast"/>
          <w:jc w:val="center"/>
        </w:trPr>
        <w:tc>
          <w:tcPr>
            <w:tcW w:w="705" w:type="dxa"/>
            <w:vMerge w:val="continue"/>
            <w:vAlign w:val="center"/>
          </w:tcPr>
          <w:p>
            <w:pPr>
              <w:jc w:val="center"/>
              <w:rPr>
                <w:rFonts w:ascii="Times New Roman" w:hAnsi="Times New Roman"/>
                <w:b/>
                <w:color w:val="FF0000"/>
                <w:sz w:val="24"/>
                <w:szCs w:val="24"/>
              </w:rPr>
            </w:pPr>
          </w:p>
        </w:tc>
        <w:tc>
          <w:tcPr>
            <w:tcW w:w="420" w:type="dxa"/>
            <w:vMerge w:val="restart"/>
            <w:tcBorders>
              <w:top w:val="single" w:color="auto" w:sz="6" w:space="0"/>
              <w:right w:val="single" w:color="auto" w:sz="4" w:space="0"/>
            </w:tcBorders>
            <w:vAlign w:val="center"/>
          </w:tcPr>
          <w:p>
            <w:pPr>
              <w:pStyle w:val="97"/>
              <w:spacing w:before="0" w:beforeAutospacing="0"/>
              <w:rPr>
                <w:color w:val="000000" w:themeColor="text1"/>
                <w:sz w:val="21"/>
                <w:szCs w:val="21"/>
              </w:rPr>
            </w:pPr>
            <w:r>
              <w:rPr>
                <w:rFonts w:hint="eastAsia"/>
                <w:color w:val="000000" w:themeColor="text1"/>
                <w:sz w:val="21"/>
                <w:szCs w:val="21"/>
              </w:rPr>
              <w:t>运营期</w:t>
            </w:r>
          </w:p>
        </w:tc>
        <w:tc>
          <w:tcPr>
            <w:tcW w:w="1155" w:type="dxa"/>
            <w:tcBorders>
              <w:top w:val="single" w:color="auto" w:sz="6" w:space="0"/>
              <w:left w:val="single" w:color="auto" w:sz="4" w:space="0"/>
              <w:bottom w:val="single" w:color="auto" w:sz="4" w:space="0"/>
              <w:right w:val="single" w:color="auto" w:sz="4" w:space="0"/>
            </w:tcBorders>
            <w:vAlign w:val="center"/>
          </w:tcPr>
          <w:p>
            <w:pPr>
              <w:pStyle w:val="97"/>
              <w:spacing w:before="0" w:beforeAutospacing="0"/>
              <w:rPr>
                <w:color w:val="000000" w:themeColor="text1"/>
                <w:sz w:val="21"/>
                <w:szCs w:val="21"/>
              </w:rPr>
            </w:pPr>
            <w:r>
              <w:rPr>
                <w:rFonts w:hAnsi="宋体" w:eastAsia="宋体"/>
                <w:color w:val="000000" w:themeColor="text1"/>
                <w:sz w:val="21"/>
                <w:szCs w:val="21"/>
              </w:rPr>
              <w:t>粉尘</w:t>
            </w:r>
          </w:p>
        </w:tc>
        <w:tc>
          <w:tcPr>
            <w:tcW w:w="1680" w:type="dxa"/>
            <w:tcBorders>
              <w:top w:val="single" w:color="auto" w:sz="6" w:space="0"/>
              <w:left w:val="single" w:color="auto" w:sz="4" w:space="0"/>
              <w:right w:val="single" w:color="auto" w:sz="4" w:space="0"/>
            </w:tcBorders>
            <w:shd w:val="clear" w:color="auto" w:fill="auto"/>
            <w:vAlign w:val="center"/>
          </w:tcPr>
          <w:p>
            <w:pPr>
              <w:pStyle w:val="14"/>
              <w:jc w:val="center"/>
              <w:rPr>
                <w:rFonts w:ascii="Times New Roman" w:hAnsi="Times New Roman"/>
                <w:color w:val="000000" w:themeColor="text1"/>
                <w:sz w:val="21"/>
                <w:szCs w:val="21"/>
              </w:rPr>
            </w:pPr>
            <w:r>
              <w:rPr>
                <w:rFonts w:ascii="Times New Roman" w:hAnsi="Times New Roman"/>
                <w:color w:val="000000" w:themeColor="text1"/>
                <w:sz w:val="21"/>
                <w:szCs w:val="21"/>
              </w:rPr>
              <w:t>颗粒物</w:t>
            </w:r>
          </w:p>
        </w:tc>
        <w:tc>
          <w:tcPr>
            <w:tcW w:w="3045" w:type="dxa"/>
            <w:tcBorders>
              <w:top w:val="single" w:color="auto" w:sz="6" w:space="0"/>
              <w:left w:val="single" w:color="auto" w:sz="4" w:space="0"/>
              <w:right w:val="single" w:color="auto" w:sz="4" w:space="0"/>
            </w:tcBorders>
            <w:shd w:val="clear" w:color="auto" w:fill="auto"/>
            <w:vAlign w:val="center"/>
          </w:tcPr>
          <w:p>
            <w:pPr>
              <w:rPr>
                <w:rFonts w:ascii="Times New Roman" w:hAnsi="Times New Roman"/>
                <w:color w:val="FF0000"/>
                <w:kern w:val="0"/>
                <w:szCs w:val="21"/>
              </w:rPr>
            </w:pPr>
            <w:r>
              <w:rPr>
                <w:color w:val="FF0000"/>
                <w:szCs w:val="21"/>
              </w:rPr>
              <w:t>水泥</w:t>
            </w:r>
            <w:r>
              <w:rPr>
                <w:rFonts w:hint="eastAsia"/>
                <w:color w:val="FF0000"/>
                <w:szCs w:val="21"/>
              </w:rPr>
              <w:t>、粉煤灰</w:t>
            </w:r>
            <w:r>
              <w:rPr>
                <w:bCs/>
                <w:color w:val="FF0000"/>
                <w:szCs w:val="21"/>
              </w:rPr>
              <w:t>筒库安装旋风+布袋除尘器；</w:t>
            </w:r>
            <w:r>
              <w:rPr>
                <w:color w:val="FF0000"/>
                <w:szCs w:val="21"/>
              </w:rPr>
              <w:t>加强物料运输和装卸管理；文明装卸；对于装运含粉尘的运输车辆应加盖篷布，严格控制物料的洒落；物料输送采用封闭式输送带；加强绿化；定时站内清扫、洒水；建立健全科学的操作规程和制度</w:t>
            </w:r>
          </w:p>
        </w:tc>
        <w:tc>
          <w:tcPr>
            <w:tcW w:w="1876" w:type="dxa"/>
            <w:tcBorders>
              <w:top w:val="single" w:color="auto" w:sz="6" w:space="0"/>
              <w:left w:val="single" w:color="auto" w:sz="4" w:space="0"/>
            </w:tcBorders>
            <w:shd w:val="clear" w:color="auto" w:fill="auto"/>
            <w:vAlign w:val="center"/>
          </w:tcPr>
          <w:p>
            <w:pPr>
              <w:adjustRightInd w:val="0"/>
              <w:snapToGrid w:val="0"/>
              <w:rPr>
                <w:rFonts w:ascii="Times New Roman" w:hAnsi="Times New Roman"/>
                <w:color w:val="000000" w:themeColor="text1"/>
                <w:position w:val="-10"/>
                <w:szCs w:val="21"/>
                <w:highlight w:val="yellow"/>
              </w:rPr>
            </w:pPr>
            <w:r>
              <w:rPr>
                <w:rFonts w:ascii="Times New Roman"/>
                <w:color w:val="000000" w:themeColor="text1"/>
                <w:szCs w:val="21"/>
              </w:rPr>
              <w:t>达到《水泥工业大气污染物排放标准》（</w:t>
            </w:r>
            <w:r>
              <w:rPr>
                <w:rFonts w:ascii="Times New Roman" w:hAnsi="Times New Roman"/>
                <w:color w:val="000000" w:themeColor="text1"/>
                <w:szCs w:val="21"/>
              </w:rPr>
              <w:t>GB4915-2013</w:t>
            </w:r>
            <w:r>
              <w:rPr>
                <w:rFonts w:ascii="Times New Roman"/>
                <w:color w:val="000000" w:themeColor="text1"/>
                <w:szCs w:val="21"/>
              </w:rPr>
              <w:t>）的要求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30" w:hRule="atLeast"/>
          <w:jc w:val="center"/>
        </w:trPr>
        <w:tc>
          <w:tcPr>
            <w:tcW w:w="705" w:type="dxa"/>
            <w:vMerge w:val="continue"/>
            <w:vAlign w:val="center"/>
          </w:tcPr>
          <w:p>
            <w:pPr>
              <w:jc w:val="center"/>
              <w:rPr>
                <w:rFonts w:ascii="Times New Roman" w:hAnsi="Times New Roman"/>
                <w:b/>
                <w:color w:val="FF0000"/>
                <w:sz w:val="24"/>
                <w:szCs w:val="24"/>
              </w:rPr>
            </w:pPr>
          </w:p>
        </w:tc>
        <w:tc>
          <w:tcPr>
            <w:tcW w:w="420" w:type="dxa"/>
            <w:vMerge w:val="continue"/>
            <w:tcBorders>
              <w:right w:val="single" w:color="auto" w:sz="4" w:space="0"/>
            </w:tcBorders>
            <w:vAlign w:val="center"/>
          </w:tcPr>
          <w:p>
            <w:pPr>
              <w:pStyle w:val="97"/>
              <w:spacing w:before="0" w:beforeAutospacing="0"/>
              <w:rPr>
                <w:color w:val="000000" w:themeColor="text1"/>
                <w:sz w:val="21"/>
                <w:szCs w:val="21"/>
              </w:rPr>
            </w:pPr>
          </w:p>
        </w:tc>
        <w:tc>
          <w:tcPr>
            <w:tcW w:w="1155" w:type="dxa"/>
            <w:tcBorders>
              <w:top w:val="single" w:color="auto" w:sz="6" w:space="0"/>
              <w:left w:val="single" w:color="auto" w:sz="4" w:space="0"/>
              <w:bottom w:val="single" w:color="auto" w:sz="4" w:space="0"/>
              <w:right w:val="single" w:color="auto" w:sz="4" w:space="0"/>
            </w:tcBorders>
            <w:vAlign w:val="center"/>
          </w:tcPr>
          <w:p>
            <w:pPr>
              <w:pStyle w:val="97"/>
              <w:spacing w:before="0" w:beforeAutospacing="0"/>
              <w:rPr>
                <w:color w:val="000000" w:themeColor="text1"/>
                <w:sz w:val="21"/>
                <w:szCs w:val="21"/>
              </w:rPr>
            </w:pPr>
            <w:r>
              <w:rPr>
                <w:rFonts w:hAnsi="宋体" w:eastAsia="宋体"/>
                <w:color w:val="000000" w:themeColor="text1"/>
                <w:sz w:val="21"/>
                <w:szCs w:val="21"/>
              </w:rPr>
              <w:t>汽车尾气</w:t>
            </w:r>
          </w:p>
        </w:tc>
        <w:tc>
          <w:tcPr>
            <w:tcW w:w="1680" w:type="dxa"/>
            <w:tcBorders>
              <w:top w:val="single" w:color="auto" w:sz="6" w:space="0"/>
              <w:left w:val="single" w:color="auto" w:sz="4" w:space="0"/>
              <w:right w:val="single" w:color="auto" w:sz="4" w:space="0"/>
            </w:tcBorders>
            <w:shd w:val="clear" w:color="auto" w:fill="auto"/>
            <w:vAlign w:val="center"/>
          </w:tcPr>
          <w:p>
            <w:pPr>
              <w:pStyle w:val="14"/>
              <w:jc w:val="center"/>
              <w:rPr>
                <w:rFonts w:ascii="Times New Roman" w:hAnsi="Times New Roman"/>
                <w:color w:val="000000" w:themeColor="text1"/>
                <w:sz w:val="21"/>
                <w:szCs w:val="21"/>
              </w:rPr>
            </w:pPr>
            <w:r>
              <w:rPr>
                <w:rFonts w:ascii="Times New Roman" w:hAnsi="Times New Roman"/>
                <w:color w:val="000000" w:themeColor="text1"/>
                <w:sz w:val="21"/>
                <w:szCs w:val="21"/>
              </w:rPr>
              <w:t>CO</w:t>
            </w:r>
            <w:r>
              <w:rPr>
                <w:rFonts w:ascii="Times New Roman"/>
                <w:color w:val="000000" w:themeColor="text1"/>
                <w:sz w:val="21"/>
                <w:szCs w:val="21"/>
              </w:rPr>
              <w:t>、</w:t>
            </w:r>
            <w:r>
              <w:rPr>
                <w:rFonts w:ascii="Times New Roman" w:hAnsi="Times New Roman"/>
                <w:color w:val="000000" w:themeColor="text1"/>
                <w:sz w:val="21"/>
                <w:szCs w:val="21"/>
              </w:rPr>
              <w:t>NOx</w:t>
            </w:r>
            <w:r>
              <w:rPr>
                <w:rFonts w:ascii="Times New Roman"/>
                <w:color w:val="000000" w:themeColor="text1"/>
                <w:sz w:val="21"/>
                <w:szCs w:val="21"/>
              </w:rPr>
              <w:t>、</w:t>
            </w:r>
            <w:r>
              <w:rPr>
                <w:rFonts w:ascii="Times New Roman" w:hAnsi="Times New Roman"/>
                <w:color w:val="000000" w:themeColor="text1"/>
                <w:sz w:val="21"/>
                <w:szCs w:val="21"/>
              </w:rPr>
              <w:t>THC</w:t>
            </w:r>
          </w:p>
        </w:tc>
        <w:tc>
          <w:tcPr>
            <w:tcW w:w="3045" w:type="dxa"/>
            <w:tcBorders>
              <w:top w:val="single" w:color="auto" w:sz="6" w:space="0"/>
              <w:left w:val="single" w:color="auto" w:sz="4" w:space="0"/>
              <w:right w:val="single" w:color="auto" w:sz="4" w:space="0"/>
            </w:tcBorders>
            <w:shd w:val="clear" w:color="auto" w:fill="auto"/>
            <w:vAlign w:val="center"/>
          </w:tcPr>
          <w:p>
            <w:pPr>
              <w:rPr>
                <w:rFonts w:ascii="Times New Roman" w:hAnsi="Times New Roman"/>
                <w:color w:val="000000" w:themeColor="text1"/>
                <w:szCs w:val="21"/>
              </w:rPr>
            </w:pPr>
            <w:r>
              <w:rPr>
                <w:rFonts w:ascii="Times New Roman"/>
                <w:color w:val="000000" w:themeColor="text1"/>
                <w:szCs w:val="21"/>
              </w:rPr>
              <w:t>项目应加强管理，加强机动车的检测与维修，禁止使用尾气污染物超标排放的机动车；禁止车辆怠速运转</w:t>
            </w:r>
          </w:p>
        </w:tc>
        <w:tc>
          <w:tcPr>
            <w:tcW w:w="1876" w:type="dxa"/>
            <w:tcBorders>
              <w:top w:val="single" w:color="auto" w:sz="6" w:space="0"/>
              <w:left w:val="single" w:color="auto" w:sz="4" w:space="0"/>
            </w:tcBorders>
            <w:shd w:val="clear" w:color="auto" w:fill="auto"/>
            <w:vAlign w:val="center"/>
          </w:tcPr>
          <w:p>
            <w:pPr>
              <w:adjustRightInd w:val="0"/>
              <w:snapToGrid w:val="0"/>
              <w:rPr>
                <w:rFonts w:ascii="Times New Roman" w:hAnsi="Times New Roman"/>
                <w:color w:val="000000" w:themeColor="text1"/>
                <w:szCs w:val="21"/>
              </w:rPr>
            </w:pPr>
            <w:r>
              <w:rPr>
                <w:rFonts w:ascii="Times New Roman" w:hAnsi="Times New Roman"/>
                <w:color w:val="000000" w:themeColor="text1"/>
                <w:szCs w:val="21"/>
              </w:rPr>
              <w:t>项目对周围大气环境的影响较小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705" w:type="dxa"/>
            <w:vMerge w:val="continue"/>
            <w:vAlign w:val="center"/>
          </w:tcPr>
          <w:p>
            <w:pPr>
              <w:jc w:val="center"/>
              <w:rPr>
                <w:rFonts w:ascii="Times New Roman" w:hAnsi="Times New Roman"/>
                <w:b/>
                <w:color w:val="FF0000"/>
                <w:sz w:val="24"/>
                <w:szCs w:val="24"/>
              </w:rPr>
            </w:pPr>
          </w:p>
        </w:tc>
        <w:tc>
          <w:tcPr>
            <w:tcW w:w="420" w:type="dxa"/>
            <w:vMerge w:val="continue"/>
            <w:tcBorders>
              <w:right w:val="single" w:color="auto" w:sz="4" w:space="0"/>
            </w:tcBorders>
            <w:vAlign w:val="center"/>
          </w:tcPr>
          <w:p>
            <w:pPr>
              <w:pStyle w:val="97"/>
              <w:spacing w:before="0" w:beforeAutospacing="0"/>
              <w:rPr>
                <w:color w:val="FF0000"/>
                <w:sz w:val="21"/>
                <w:szCs w:val="21"/>
              </w:rPr>
            </w:pPr>
          </w:p>
        </w:tc>
        <w:tc>
          <w:tcPr>
            <w:tcW w:w="1155" w:type="dxa"/>
            <w:tcBorders>
              <w:top w:val="single" w:color="auto" w:sz="6" w:space="0"/>
              <w:left w:val="single" w:color="auto" w:sz="4" w:space="0"/>
              <w:bottom w:val="single" w:color="auto" w:sz="4" w:space="0"/>
              <w:right w:val="single" w:color="auto" w:sz="4" w:space="0"/>
            </w:tcBorders>
            <w:vAlign w:val="center"/>
          </w:tcPr>
          <w:p>
            <w:pPr>
              <w:pStyle w:val="97"/>
              <w:spacing w:before="0" w:beforeAutospacing="0"/>
              <w:rPr>
                <w:color w:val="000000" w:themeColor="text1"/>
                <w:sz w:val="21"/>
                <w:szCs w:val="21"/>
              </w:rPr>
            </w:pPr>
            <w:r>
              <w:rPr>
                <w:rFonts w:hAnsi="宋体" w:eastAsia="宋体"/>
                <w:color w:val="000000" w:themeColor="text1"/>
                <w:sz w:val="21"/>
                <w:szCs w:val="21"/>
              </w:rPr>
              <w:t>厨房油烟</w:t>
            </w:r>
          </w:p>
        </w:tc>
        <w:tc>
          <w:tcPr>
            <w:tcW w:w="1680" w:type="dxa"/>
            <w:tcBorders>
              <w:top w:val="single" w:color="auto" w:sz="6" w:space="0"/>
              <w:left w:val="single" w:color="auto" w:sz="4" w:space="0"/>
              <w:right w:val="single" w:color="auto" w:sz="4" w:space="0"/>
            </w:tcBorders>
            <w:shd w:val="clear" w:color="auto" w:fill="auto"/>
            <w:vAlign w:val="center"/>
          </w:tcPr>
          <w:p>
            <w:pPr>
              <w:jc w:val="center"/>
              <w:rPr>
                <w:rFonts w:ascii="Times New Roman" w:hAnsi="Times New Roman"/>
                <w:color w:val="000000" w:themeColor="text1"/>
                <w:szCs w:val="21"/>
              </w:rPr>
            </w:pPr>
            <w:r>
              <w:rPr>
                <w:rFonts w:ascii="Times New Roman"/>
                <w:color w:val="000000" w:themeColor="text1"/>
                <w:szCs w:val="21"/>
              </w:rPr>
              <w:t>油烟</w:t>
            </w:r>
          </w:p>
        </w:tc>
        <w:tc>
          <w:tcPr>
            <w:tcW w:w="3045" w:type="dxa"/>
            <w:tcBorders>
              <w:top w:val="single" w:color="auto" w:sz="6" w:space="0"/>
              <w:left w:val="single" w:color="auto" w:sz="4" w:space="0"/>
              <w:right w:val="single" w:color="auto" w:sz="4" w:space="0"/>
            </w:tcBorders>
            <w:shd w:val="clear" w:color="auto" w:fill="auto"/>
            <w:vAlign w:val="center"/>
          </w:tcPr>
          <w:p>
            <w:pPr>
              <w:rPr>
                <w:rFonts w:ascii="Times New Roman" w:hAnsi="Times New Roman"/>
                <w:color w:val="000000" w:themeColor="text1"/>
                <w:szCs w:val="21"/>
                <w:highlight w:val="yellow"/>
              </w:rPr>
            </w:pPr>
            <w:r>
              <w:rPr>
                <w:rFonts w:ascii="Times New Roman"/>
                <w:color w:val="000000" w:themeColor="text1"/>
                <w:szCs w:val="21"/>
              </w:rPr>
              <w:t>经</w:t>
            </w:r>
            <w:r>
              <w:rPr>
                <w:rFonts w:hint="eastAsia" w:ascii="Times New Roman"/>
                <w:color w:val="000000" w:themeColor="text1"/>
                <w:szCs w:val="21"/>
              </w:rPr>
              <w:t>油烟</w:t>
            </w:r>
            <w:r>
              <w:rPr>
                <w:rFonts w:ascii="Times New Roman"/>
                <w:color w:val="000000" w:themeColor="text1"/>
                <w:szCs w:val="21"/>
              </w:rPr>
              <w:t>净化装置处理达标后经专门管道高空排放</w:t>
            </w:r>
          </w:p>
        </w:tc>
        <w:tc>
          <w:tcPr>
            <w:tcW w:w="1876" w:type="dxa"/>
            <w:tcBorders>
              <w:top w:val="single" w:color="auto" w:sz="6" w:space="0"/>
              <w:left w:val="single" w:color="auto" w:sz="4" w:space="0"/>
            </w:tcBorders>
            <w:shd w:val="clear" w:color="auto" w:fill="auto"/>
            <w:vAlign w:val="center"/>
          </w:tcPr>
          <w:p>
            <w:pPr>
              <w:adjustRightInd w:val="0"/>
              <w:snapToGrid w:val="0"/>
              <w:rPr>
                <w:rFonts w:ascii="Times New Roman" w:hAnsi="Times New Roman"/>
                <w:color w:val="000000" w:themeColor="text1"/>
                <w:kern w:val="0"/>
                <w:szCs w:val="21"/>
                <w:highlight w:val="yellow"/>
              </w:rPr>
            </w:pPr>
            <w:r>
              <w:rPr>
                <w:rFonts w:ascii="Times New Roman"/>
                <w:color w:val="000000" w:themeColor="text1"/>
                <w:szCs w:val="21"/>
              </w:rPr>
              <w:t>达到饮食业油烟排放标准（试行）》（</w:t>
            </w:r>
            <w:r>
              <w:rPr>
                <w:rFonts w:ascii="Times New Roman" w:hAnsi="Times New Roman"/>
                <w:color w:val="000000" w:themeColor="text1"/>
                <w:szCs w:val="21"/>
              </w:rPr>
              <w:t>GB18483-2001</w:t>
            </w:r>
            <w:r>
              <w:rPr>
                <w:rFonts w:ascii="Times New Roman"/>
                <w:color w:val="000000" w:themeColor="text1"/>
                <w:szCs w:val="21"/>
              </w:rPr>
              <w:t>）的要求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705" w:type="dxa"/>
            <w:vMerge w:val="continue"/>
            <w:vAlign w:val="center"/>
          </w:tcPr>
          <w:p>
            <w:pPr>
              <w:jc w:val="center"/>
              <w:rPr>
                <w:rFonts w:ascii="Times New Roman" w:hAnsi="Times New Roman"/>
                <w:b/>
                <w:color w:val="FF0000"/>
                <w:sz w:val="24"/>
                <w:szCs w:val="24"/>
              </w:rPr>
            </w:pPr>
          </w:p>
        </w:tc>
        <w:tc>
          <w:tcPr>
            <w:tcW w:w="420" w:type="dxa"/>
            <w:vMerge w:val="continue"/>
            <w:tcBorders>
              <w:bottom w:val="single" w:color="auto" w:sz="4" w:space="0"/>
              <w:right w:val="single" w:color="auto" w:sz="4" w:space="0"/>
            </w:tcBorders>
            <w:vAlign w:val="center"/>
          </w:tcPr>
          <w:p>
            <w:pPr>
              <w:pStyle w:val="97"/>
              <w:spacing w:before="0" w:beforeAutospacing="0"/>
              <w:rPr>
                <w:color w:val="FF0000"/>
                <w:sz w:val="21"/>
                <w:szCs w:val="21"/>
              </w:rPr>
            </w:pPr>
          </w:p>
        </w:tc>
        <w:tc>
          <w:tcPr>
            <w:tcW w:w="1155" w:type="dxa"/>
            <w:tcBorders>
              <w:top w:val="single" w:color="auto" w:sz="6" w:space="0"/>
              <w:left w:val="single" w:color="auto" w:sz="4" w:space="0"/>
              <w:bottom w:val="single" w:color="auto" w:sz="4" w:space="0"/>
              <w:right w:val="single" w:color="auto" w:sz="4" w:space="0"/>
            </w:tcBorders>
            <w:vAlign w:val="center"/>
          </w:tcPr>
          <w:p>
            <w:pPr>
              <w:jc w:val="center"/>
              <w:rPr>
                <w:rFonts w:ascii="Times New Roman" w:hAnsi="宋体"/>
                <w:bCs/>
                <w:color w:val="000000" w:themeColor="text1"/>
                <w:szCs w:val="21"/>
              </w:rPr>
            </w:pPr>
            <w:r>
              <w:rPr>
                <w:rFonts w:ascii="Times New Roman" w:hAnsi="宋体"/>
                <w:bCs/>
                <w:color w:val="000000" w:themeColor="text1"/>
                <w:szCs w:val="21"/>
              </w:rPr>
              <w:t>发电机废气</w:t>
            </w:r>
          </w:p>
        </w:tc>
        <w:tc>
          <w:tcPr>
            <w:tcW w:w="1680" w:type="dxa"/>
            <w:tcBorders>
              <w:top w:val="single" w:color="auto" w:sz="6" w:space="0"/>
              <w:left w:val="single" w:color="auto" w:sz="4" w:space="0"/>
              <w:right w:val="single" w:color="auto" w:sz="4" w:space="0"/>
            </w:tcBorders>
            <w:shd w:val="clear" w:color="auto" w:fill="auto"/>
            <w:vAlign w:val="center"/>
          </w:tcPr>
          <w:p>
            <w:pPr>
              <w:pStyle w:val="118"/>
              <w:jc w:val="center"/>
              <w:rPr>
                <w:rFonts w:ascii="Times New Roman" w:hAnsi="Times New Roman"/>
                <w:color w:val="000000" w:themeColor="text1"/>
                <w:sz w:val="21"/>
                <w:szCs w:val="21"/>
              </w:rPr>
            </w:pPr>
            <w:r>
              <w:rPr>
                <w:rFonts w:ascii="Times New Roman" w:hAnsi="Times New Roman"/>
                <w:color w:val="000000" w:themeColor="text1"/>
                <w:sz w:val="21"/>
                <w:szCs w:val="21"/>
              </w:rPr>
              <w:t>SO</w:t>
            </w:r>
            <w:r>
              <w:rPr>
                <w:rFonts w:ascii="Times New Roman" w:hAnsi="Times New Roman"/>
                <w:color w:val="000000" w:themeColor="text1"/>
                <w:sz w:val="21"/>
                <w:szCs w:val="21"/>
                <w:vertAlign w:val="subscript"/>
              </w:rPr>
              <w:t>2</w:t>
            </w:r>
            <w:r>
              <w:rPr>
                <w:rFonts w:ascii="Times New Roman" w:hAnsi="宋体"/>
                <w:color w:val="000000" w:themeColor="text1"/>
                <w:sz w:val="21"/>
                <w:szCs w:val="21"/>
              </w:rPr>
              <w:t>、</w:t>
            </w:r>
            <w:r>
              <w:rPr>
                <w:rFonts w:ascii="Times New Roman" w:hAnsi="Times New Roman"/>
                <w:color w:val="000000" w:themeColor="text1"/>
                <w:sz w:val="21"/>
                <w:szCs w:val="21"/>
              </w:rPr>
              <w:t>NO</w:t>
            </w:r>
            <w:r>
              <w:rPr>
                <w:rFonts w:ascii="Times New Roman" w:hAnsi="Times New Roman"/>
                <w:color w:val="000000" w:themeColor="text1"/>
                <w:sz w:val="21"/>
                <w:szCs w:val="21"/>
                <w:vertAlign w:val="subscript"/>
              </w:rPr>
              <w:t>X</w:t>
            </w:r>
            <w:r>
              <w:rPr>
                <w:rFonts w:ascii="Times New Roman" w:hAnsi="宋体"/>
                <w:color w:val="000000" w:themeColor="text1"/>
                <w:sz w:val="21"/>
                <w:szCs w:val="21"/>
              </w:rPr>
              <w:t>、烟尘、林格曼黑度</w:t>
            </w:r>
          </w:p>
        </w:tc>
        <w:tc>
          <w:tcPr>
            <w:tcW w:w="3045" w:type="dxa"/>
            <w:tcBorders>
              <w:top w:val="single" w:color="auto" w:sz="6" w:space="0"/>
              <w:left w:val="single" w:color="auto" w:sz="4" w:space="0"/>
              <w:right w:val="single" w:color="auto" w:sz="4" w:space="0"/>
            </w:tcBorders>
            <w:shd w:val="clear" w:color="auto" w:fill="auto"/>
            <w:vAlign w:val="center"/>
          </w:tcPr>
          <w:p>
            <w:pPr>
              <w:rPr>
                <w:rFonts w:ascii="Times New Roman"/>
                <w:color w:val="000000" w:themeColor="text1"/>
                <w:szCs w:val="21"/>
              </w:rPr>
            </w:pPr>
            <w:r>
              <w:rPr>
                <w:rFonts w:ascii="Times New Roman"/>
                <w:color w:val="000000" w:themeColor="text1"/>
                <w:szCs w:val="21"/>
              </w:rPr>
              <w:t>在采用高效率燃油发电机，使用轻柴油作为燃料，废气排放口设置在楼顶，安装柴油颗粒捕集器对烟气进行处理</w:t>
            </w:r>
          </w:p>
        </w:tc>
        <w:tc>
          <w:tcPr>
            <w:tcW w:w="1876" w:type="dxa"/>
            <w:tcBorders>
              <w:top w:val="single" w:color="auto" w:sz="6" w:space="0"/>
              <w:left w:val="single" w:color="auto" w:sz="4" w:space="0"/>
            </w:tcBorders>
            <w:shd w:val="clear" w:color="auto" w:fill="auto"/>
            <w:vAlign w:val="center"/>
          </w:tcPr>
          <w:p>
            <w:pPr>
              <w:adjustRightInd w:val="0"/>
              <w:snapToGrid w:val="0"/>
              <w:rPr>
                <w:rFonts w:ascii="Times New Roman"/>
                <w:color w:val="000000" w:themeColor="text1"/>
                <w:szCs w:val="21"/>
              </w:rPr>
            </w:pPr>
            <w:r>
              <w:rPr>
                <w:rFonts w:hint="eastAsia" w:ascii="Times New Roman"/>
                <w:color w:val="000000" w:themeColor="text1"/>
                <w:szCs w:val="21"/>
              </w:rPr>
              <w:t>达到</w:t>
            </w:r>
            <w:r>
              <w:rPr>
                <w:rFonts w:ascii="Times New Roman"/>
                <w:color w:val="000000" w:themeColor="text1"/>
                <w:szCs w:val="21"/>
              </w:rPr>
              <w:t>《大气污染物排放限值》（DB44/27-2001）第二时段二级标准相关污染物排放限值要求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3" w:hRule="atLeast"/>
          <w:jc w:val="center"/>
        </w:trPr>
        <w:tc>
          <w:tcPr>
            <w:tcW w:w="705" w:type="dxa"/>
            <w:vMerge w:val="restart"/>
            <w:tcBorders>
              <w:top w:val="single" w:color="auto" w:sz="6" w:space="0"/>
            </w:tcBorders>
            <w:vAlign w:val="center"/>
          </w:tcPr>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水</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污</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染</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物</w:t>
            </w:r>
          </w:p>
        </w:tc>
        <w:tc>
          <w:tcPr>
            <w:tcW w:w="420" w:type="dxa"/>
            <w:vMerge w:val="restart"/>
            <w:tcBorders>
              <w:top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施工期</w:t>
            </w:r>
          </w:p>
        </w:tc>
        <w:tc>
          <w:tcPr>
            <w:tcW w:w="1155" w:type="dxa"/>
            <w:tcBorders>
              <w:top w:val="single" w:color="auto" w:sz="4" w:space="0"/>
              <w:left w:val="single" w:color="auto" w:sz="4" w:space="0"/>
            </w:tcBorders>
            <w:vAlign w:val="center"/>
          </w:tcPr>
          <w:p>
            <w:pPr>
              <w:jc w:val="center"/>
              <w:rPr>
                <w:rFonts w:ascii="Times New Roman" w:hAnsi="宋体"/>
                <w:color w:val="000000" w:themeColor="text1"/>
                <w:szCs w:val="21"/>
              </w:rPr>
            </w:pPr>
            <w:r>
              <w:rPr>
                <w:rFonts w:hint="eastAsia" w:ascii="Times New Roman" w:hAnsi="宋体"/>
                <w:color w:val="000000" w:themeColor="text1"/>
                <w:szCs w:val="21"/>
              </w:rPr>
              <w:t>施工废水</w:t>
            </w:r>
          </w:p>
        </w:tc>
        <w:tc>
          <w:tcPr>
            <w:tcW w:w="1680" w:type="dxa"/>
            <w:tcBorders>
              <w:top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SS</w:t>
            </w:r>
          </w:p>
        </w:tc>
        <w:tc>
          <w:tcPr>
            <w:tcW w:w="3045" w:type="dxa"/>
            <w:tcBorders>
              <w:top w:val="single" w:color="auto" w:sz="4" w:space="0"/>
            </w:tcBorders>
            <w:vAlign w:val="center"/>
          </w:tcPr>
          <w:p>
            <w:pPr>
              <w:autoSpaceDE w:val="0"/>
              <w:autoSpaceDN w:val="0"/>
              <w:adjustRightInd w:val="0"/>
              <w:jc w:val="center"/>
              <w:rPr>
                <w:color w:val="000000" w:themeColor="text1"/>
                <w:kern w:val="0"/>
                <w:szCs w:val="21"/>
              </w:rPr>
            </w:pPr>
            <w:r>
              <w:rPr>
                <w:color w:val="000000" w:themeColor="text1"/>
                <w:kern w:val="0"/>
                <w:szCs w:val="21"/>
              </w:rPr>
              <w:t>设置临时沉淀池</w:t>
            </w:r>
            <w:r>
              <w:rPr>
                <w:rFonts w:hint="eastAsia"/>
                <w:color w:val="000000" w:themeColor="text1"/>
                <w:kern w:val="0"/>
                <w:szCs w:val="21"/>
              </w:rPr>
              <w:t>和隔油设施</w:t>
            </w:r>
            <w:r>
              <w:rPr>
                <w:color w:val="000000" w:themeColor="text1"/>
                <w:kern w:val="0"/>
                <w:szCs w:val="21"/>
              </w:rPr>
              <w:t>，经沉淀</w:t>
            </w:r>
            <w:r>
              <w:rPr>
                <w:rFonts w:hint="eastAsia"/>
                <w:color w:val="000000" w:themeColor="text1"/>
                <w:kern w:val="0"/>
                <w:szCs w:val="21"/>
              </w:rPr>
              <w:t>隔油处理</w:t>
            </w:r>
            <w:r>
              <w:rPr>
                <w:color w:val="000000" w:themeColor="text1"/>
                <w:kern w:val="0"/>
                <w:szCs w:val="21"/>
              </w:rPr>
              <w:t>后上清液回用</w:t>
            </w:r>
          </w:p>
        </w:tc>
        <w:tc>
          <w:tcPr>
            <w:tcW w:w="1876" w:type="dxa"/>
            <w:vMerge w:val="restart"/>
            <w:tcBorders>
              <w:top w:val="single" w:color="auto" w:sz="4" w:space="0"/>
            </w:tcBorders>
            <w:vAlign w:val="center"/>
          </w:tcPr>
          <w:p>
            <w:pPr>
              <w:pStyle w:val="83"/>
              <w:jc w:val="both"/>
              <w:rPr>
                <w:rFonts w:hAnsi="宋体" w:eastAsia="宋体"/>
                <w:color w:val="000000" w:themeColor="text1"/>
                <w:szCs w:val="21"/>
              </w:rPr>
            </w:pPr>
            <w:r>
              <w:rPr>
                <w:rFonts w:hint="eastAsia" w:hAnsi="宋体" w:eastAsia="宋体"/>
                <w:color w:val="000000" w:themeColor="text1"/>
                <w:szCs w:val="21"/>
              </w:rPr>
              <w:t>对环境无明显影响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705" w:type="dxa"/>
            <w:vMerge w:val="continue"/>
            <w:vAlign w:val="center"/>
          </w:tcPr>
          <w:p>
            <w:pPr>
              <w:jc w:val="center"/>
              <w:rPr>
                <w:rFonts w:ascii="Times New Roman" w:hAnsi="Times New Roman"/>
                <w:b/>
                <w:color w:val="000000" w:themeColor="text1"/>
                <w:sz w:val="24"/>
                <w:szCs w:val="24"/>
              </w:rPr>
            </w:pPr>
          </w:p>
        </w:tc>
        <w:tc>
          <w:tcPr>
            <w:tcW w:w="420" w:type="dxa"/>
            <w:vMerge w:val="continue"/>
            <w:tcBorders>
              <w:right w:val="single" w:color="auto" w:sz="4" w:space="0"/>
            </w:tcBorders>
            <w:vAlign w:val="center"/>
          </w:tcPr>
          <w:p>
            <w:pPr>
              <w:jc w:val="center"/>
              <w:rPr>
                <w:rFonts w:ascii="Times New Roman" w:hAnsi="Times New Roman"/>
                <w:color w:val="000000" w:themeColor="text1"/>
                <w:szCs w:val="21"/>
              </w:rPr>
            </w:pPr>
          </w:p>
        </w:tc>
        <w:tc>
          <w:tcPr>
            <w:tcW w:w="1155" w:type="dxa"/>
            <w:tcBorders>
              <w:top w:val="single" w:color="auto" w:sz="4" w:space="0"/>
              <w:left w:val="single" w:color="auto" w:sz="4" w:space="0"/>
            </w:tcBorders>
            <w:vAlign w:val="center"/>
          </w:tcPr>
          <w:p>
            <w:pPr>
              <w:jc w:val="center"/>
              <w:rPr>
                <w:rFonts w:ascii="Times New Roman" w:hAnsi="宋体"/>
                <w:color w:val="000000" w:themeColor="text1"/>
                <w:szCs w:val="21"/>
              </w:rPr>
            </w:pPr>
            <w:r>
              <w:rPr>
                <w:rFonts w:hint="eastAsia" w:ascii="Times New Roman" w:hAnsi="宋体"/>
                <w:color w:val="000000" w:themeColor="text1"/>
                <w:szCs w:val="21"/>
              </w:rPr>
              <w:t>生活污水</w:t>
            </w:r>
          </w:p>
        </w:tc>
        <w:tc>
          <w:tcPr>
            <w:tcW w:w="1680" w:type="dxa"/>
            <w:tcBorders>
              <w:top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COD、BOD</w:t>
            </w:r>
            <w:r>
              <w:rPr>
                <w:rFonts w:hint="eastAsia" w:ascii="Times New Roman" w:hAnsi="Times New Roman"/>
                <w:color w:val="000000" w:themeColor="text1"/>
                <w:szCs w:val="21"/>
                <w:vertAlign w:val="subscript"/>
              </w:rPr>
              <w:t>5</w:t>
            </w:r>
            <w:r>
              <w:rPr>
                <w:rFonts w:hint="eastAsia" w:ascii="Times New Roman" w:hAnsi="Times New Roman"/>
                <w:color w:val="000000" w:themeColor="text1"/>
                <w:szCs w:val="21"/>
              </w:rPr>
              <w:t>、NH</w:t>
            </w:r>
            <w:r>
              <w:rPr>
                <w:rFonts w:hint="eastAsia" w:ascii="Times New Roman" w:hAnsi="Times New Roman"/>
                <w:color w:val="000000" w:themeColor="text1"/>
                <w:szCs w:val="21"/>
                <w:vertAlign w:val="subscript"/>
              </w:rPr>
              <w:t>3</w:t>
            </w:r>
            <w:r>
              <w:rPr>
                <w:rFonts w:hint="eastAsia" w:ascii="Times New Roman" w:hAnsi="Times New Roman"/>
                <w:color w:val="000000" w:themeColor="text1"/>
                <w:szCs w:val="21"/>
              </w:rPr>
              <w:t>-N</w:t>
            </w:r>
          </w:p>
        </w:tc>
        <w:tc>
          <w:tcPr>
            <w:tcW w:w="3045" w:type="dxa"/>
            <w:tcBorders>
              <w:top w:val="single" w:color="auto" w:sz="4" w:space="0"/>
            </w:tcBorders>
            <w:vAlign w:val="center"/>
          </w:tcPr>
          <w:p>
            <w:pPr>
              <w:adjustRightInd w:val="0"/>
              <w:snapToGrid w:val="0"/>
              <w:ind w:left="-105" w:leftChars="-50" w:right="-105" w:rightChars="-50"/>
              <w:jc w:val="center"/>
              <w:rPr>
                <w:color w:val="000000" w:themeColor="text1"/>
                <w:kern w:val="0"/>
                <w:szCs w:val="21"/>
              </w:rPr>
            </w:pPr>
            <w:r>
              <w:rPr>
                <w:rFonts w:hint="eastAsia"/>
                <w:color w:val="000000" w:themeColor="text1"/>
                <w:kern w:val="0"/>
                <w:szCs w:val="21"/>
              </w:rPr>
              <w:t>收集后用于周围林地施肥</w:t>
            </w:r>
          </w:p>
        </w:tc>
        <w:tc>
          <w:tcPr>
            <w:tcW w:w="1876" w:type="dxa"/>
            <w:vMerge w:val="continue"/>
            <w:vAlign w:val="center"/>
          </w:tcPr>
          <w:p>
            <w:pPr>
              <w:pStyle w:val="83"/>
              <w:jc w:val="both"/>
              <w:rPr>
                <w:rFonts w:hAnsi="宋体" w:eastAsia="宋体"/>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3" w:hRule="atLeast"/>
          <w:jc w:val="center"/>
        </w:trPr>
        <w:tc>
          <w:tcPr>
            <w:tcW w:w="705" w:type="dxa"/>
            <w:vMerge w:val="continue"/>
            <w:vAlign w:val="center"/>
          </w:tcPr>
          <w:p>
            <w:pPr>
              <w:jc w:val="center"/>
              <w:rPr>
                <w:rFonts w:ascii="Times New Roman" w:hAnsi="Times New Roman"/>
                <w:b/>
                <w:color w:val="FF0000"/>
                <w:sz w:val="24"/>
                <w:szCs w:val="24"/>
              </w:rPr>
            </w:pPr>
          </w:p>
        </w:tc>
        <w:tc>
          <w:tcPr>
            <w:tcW w:w="420" w:type="dxa"/>
            <w:vMerge w:val="restart"/>
            <w:tcBorders>
              <w:top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运营期</w:t>
            </w:r>
          </w:p>
        </w:tc>
        <w:tc>
          <w:tcPr>
            <w:tcW w:w="1155" w:type="dxa"/>
            <w:tcBorders>
              <w:top w:val="single" w:color="auto" w:sz="4" w:space="0"/>
              <w:left w:val="single" w:color="auto" w:sz="4"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工业废水</w:t>
            </w:r>
          </w:p>
        </w:tc>
        <w:tc>
          <w:tcPr>
            <w:tcW w:w="1680" w:type="dxa"/>
            <w:tcBorders>
              <w:top w:val="single" w:color="auto" w:sz="4"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SS</w:t>
            </w:r>
          </w:p>
        </w:tc>
        <w:tc>
          <w:tcPr>
            <w:tcW w:w="3045" w:type="dxa"/>
            <w:tcBorders>
              <w:top w:val="single" w:color="auto" w:sz="4" w:space="0"/>
            </w:tcBorders>
            <w:vAlign w:val="center"/>
          </w:tcPr>
          <w:p>
            <w:pPr>
              <w:rPr>
                <w:rFonts w:ascii="Times New Roman" w:hAnsi="Times New Roman"/>
                <w:color w:val="000000" w:themeColor="text1"/>
                <w:szCs w:val="21"/>
              </w:rPr>
            </w:pPr>
            <w:r>
              <w:rPr>
                <w:rFonts w:ascii="Times New Roman" w:hAnsi="Times New Roman"/>
                <w:color w:val="000000" w:themeColor="text1"/>
                <w:szCs w:val="21"/>
              </w:rPr>
              <w:t>经自建三级沉淀池</w:t>
            </w:r>
            <w:r>
              <w:rPr>
                <w:rFonts w:hint="eastAsia" w:ascii="Times New Roman" w:hAnsi="Times New Roman"/>
                <w:color w:val="000000" w:themeColor="text1"/>
                <w:szCs w:val="21"/>
              </w:rPr>
              <w:t>+清水池</w:t>
            </w:r>
            <w:r>
              <w:rPr>
                <w:rFonts w:ascii="Times New Roman" w:hAnsi="Times New Roman"/>
                <w:color w:val="000000" w:themeColor="text1"/>
                <w:szCs w:val="21"/>
              </w:rPr>
              <w:t>过滤后达标后全部回用，不外排</w:t>
            </w:r>
          </w:p>
        </w:tc>
        <w:tc>
          <w:tcPr>
            <w:tcW w:w="1876" w:type="dxa"/>
            <w:tcBorders>
              <w:top w:val="single" w:color="auto" w:sz="4" w:space="0"/>
            </w:tcBorders>
            <w:vAlign w:val="center"/>
          </w:tcPr>
          <w:p>
            <w:pPr>
              <w:pStyle w:val="83"/>
              <w:jc w:val="both"/>
              <w:rPr>
                <w:color w:val="000000" w:themeColor="text1"/>
                <w:szCs w:val="21"/>
              </w:rPr>
            </w:pPr>
            <w:r>
              <w:rPr>
                <w:rFonts w:hAnsi="宋体" w:eastAsia="宋体"/>
                <w:color w:val="000000" w:themeColor="text1"/>
                <w:szCs w:val="21"/>
              </w:rPr>
              <w:t>不会对周围环境产生直接影响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65" w:hRule="atLeast"/>
          <w:jc w:val="center"/>
        </w:trPr>
        <w:tc>
          <w:tcPr>
            <w:tcW w:w="705" w:type="dxa"/>
            <w:vMerge w:val="continue"/>
            <w:vAlign w:val="center"/>
          </w:tcPr>
          <w:p>
            <w:pPr>
              <w:jc w:val="center"/>
              <w:rPr>
                <w:rFonts w:ascii="Times New Roman" w:hAnsi="Times New Roman"/>
                <w:b/>
                <w:color w:val="FF0000"/>
                <w:sz w:val="24"/>
                <w:szCs w:val="24"/>
              </w:rPr>
            </w:pPr>
          </w:p>
        </w:tc>
        <w:tc>
          <w:tcPr>
            <w:tcW w:w="420" w:type="dxa"/>
            <w:vMerge w:val="continue"/>
            <w:tcBorders>
              <w:right w:val="single" w:color="auto" w:sz="4" w:space="0"/>
            </w:tcBorders>
            <w:vAlign w:val="center"/>
          </w:tcPr>
          <w:p>
            <w:pPr>
              <w:jc w:val="center"/>
              <w:rPr>
                <w:rFonts w:ascii="Times New Roman" w:hAnsi="Times New Roman"/>
                <w:color w:val="000000" w:themeColor="text1"/>
                <w:szCs w:val="21"/>
              </w:rPr>
            </w:pPr>
          </w:p>
        </w:tc>
        <w:tc>
          <w:tcPr>
            <w:tcW w:w="1155" w:type="dxa"/>
            <w:tcBorders>
              <w:top w:val="single" w:color="auto" w:sz="4" w:space="0"/>
              <w:left w:val="single" w:color="auto" w:sz="4"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生活污水</w:t>
            </w:r>
          </w:p>
        </w:tc>
        <w:tc>
          <w:tcPr>
            <w:tcW w:w="1680" w:type="dxa"/>
            <w:tcBorders>
              <w:top w:val="single" w:color="auto" w:sz="4" w:space="0"/>
            </w:tcBorders>
            <w:vAlign w:val="center"/>
          </w:tcPr>
          <w:p>
            <w:pPr>
              <w:rPr>
                <w:rFonts w:ascii="Times New Roman" w:hAnsi="Times New Roman"/>
                <w:color w:val="000000" w:themeColor="text1"/>
                <w:szCs w:val="21"/>
              </w:rPr>
            </w:pPr>
            <w:r>
              <w:rPr>
                <w:rFonts w:ascii="Times New Roman" w:hAnsi="Times New Roman"/>
                <w:color w:val="000000" w:themeColor="text1"/>
                <w:szCs w:val="21"/>
              </w:rPr>
              <w:t>COD</w:t>
            </w:r>
            <w:r>
              <w:rPr>
                <w:rFonts w:ascii="Times New Roman" w:hAnsi="Times New Roman"/>
                <w:color w:val="000000" w:themeColor="text1"/>
                <w:szCs w:val="21"/>
                <w:vertAlign w:val="subscript"/>
              </w:rPr>
              <w:t>cr</w:t>
            </w:r>
            <w:r>
              <w:rPr>
                <w:rFonts w:ascii="Times New Roman"/>
                <w:color w:val="000000" w:themeColor="text1"/>
                <w:szCs w:val="21"/>
              </w:rPr>
              <w:t>、</w:t>
            </w:r>
            <w:r>
              <w:rPr>
                <w:rFonts w:ascii="Times New Roman" w:hAnsi="Times New Roman"/>
                <w:color w:val="000000" w:themeColor="text1"/>
                <w:szCs w:val="21"/>
              </w:rPr>
              <w:t>BOD</w:t>
            </w:r>
            <w:r>
              <w:rPr>
                <w:rFonts w:ascii="Times New Roman" w:hAnsi="Times New Roman"/>
                <w:color w:val="000000" w:themeColor="text1"/>
                <w:szCs w:val="21"/>
                <w:vertAlign w:val="subscript"/>
              </w:rPr>
              <w:t>5</w:t>
            </w:r>
            <w:r>
              <w:rPr>
                <w:rFonts w:ascii="Times New Roman"/>
                <w:color w:val="000000" w:themeColor="text1"/>
                <w:szCs w:val="21"/>
              </w:rPr>
              <w:t>、</w:t>
            </w:r>
            <w:r>
              <w:rPr>
                <w:rFonts w:ascii="Times New Roman" w:hAnsi="Times New Roman"/>
                <w:color w:val="000000" w:themeColor="text1"/>
                <w:szCs w:val="21"/>
              </w:rPr>
              <w:t>NH</w:t>
            </w:r>
            <w:r>
              <w:rPr>
                <w:rFonts w:ascii="Times New Roman" w:hAnsi="Times New Roman"/>
                <w:color w:val="000000" w:themeColor="text1"/>
                <w:szCs w:val="21"/>
                <w:vertAlign w:val="subscript"/>
              </w:rPr>
              <w:t>3</w:t>
            </w:r>
            <w:r>
              <w:rPr>
                <w:rFonts w:ascii="Times New Roman" w:hAnsi="Times New Roman"/>
                <w:color w:val="000000" w:themeColor="text1"/>
                <w:szCs w:val="21"/>
              </w:rPr>
              <w:t>-N</w:t>
            </w:r>
            <w:r>
              <w:rPr>
                <w:rFonts w:ascii="Times New Roman"/>
                <w:color w:val="000000" w:themeColor="text1"/>
                <w:szCs w:val="21"/>
              </w:rPr>
              <w:t>、磷酸盐（以</w:t>
            </w:r>
            <w:r>
              <w:rPr>
                <w:rFonts w:ascii="Times New Roman" w:hAnsi="Times New Roman"/>
                <w:color w:val="000000" w:themeColor="text1"/>
                <w:szCs w:val="21"/>
              </w:rPr>
              <w:t>P</w:t>
            </w:r>
            <w:r>
              <w:rPr>
                <w:rFonts w:ascii="Times New Roman"/>
                <w:color w:val="000000" w:themeColor="text1"/>
                <w:szCs w:val="21"/>
              </w:rPr>
              <w:t>计）、</w:t>
            </w:r>
            <w:r>
              <w:rPr>
                <w:rFonts w:ascii="Times New Roman" w:hAnsi="Times New Roman"/>
                <w:color w:val="000000" w:themeColor="text1"/>
                <w:szCs w:val="21"/>
              </w:rPr>
              <w:t>SS</w:t>
            </w:r>
          </w:p>
        </w:tc>
        <w:tc>
          <w:tcPr>
            <w:tcW w:w="3045" w:type="dxa"/>
            <w:tcBorders>
              <w:top w:val="single" w:color="auto" w:sz="4" w:space="0"/>
            </w:tcBorders>
            <w:vAlign w:val="center"/>
          </w:tcPr>
          <w:p>
            <w:pPr>
              <w:rPr>
                <w:rFonts w:ascii="Times New Roman" w:hAnsi="Times New Roman"/>
                <w:color w:val="000000" w:themeColor="text1"/>
                <w:szCs w:val="21"/>
              </w:rPr>
            </w:pPr>
            <w:r>
              <w:rPr>
                <w:rFonts w:ascii="Times New Roman" w:hAnsi="Times New Roman"/>
                <w:color w:val="000000" w:themeColor="text1"/>
                <w:szCs w:val="21"/>
              </w:rPr>
              <w:t>经生活处理装置处理后达标排放，建议采用二级生化脱氮除磷的强化A</w:t>
            </w:r>
            <w:r>
              <w:rPr>
                <w:rFonts w:ascii="Times New Roman" w:hAnsi="Times New Roman"/>
                <w:color w:val="000000" w:themeColor="text1"/>
                <w:szCs w:val="21"/>
                <w:vertAlign w:val="superscript"/>
              </w:rPr>
              <w:t>2</w:t>
            </w:r>
            <w:r>
              <w:rPr>
                <w:rFonts w:ascii="Times New Roman" w:hAnsi="Times New Roman"/>
                <w:color w:val="000000" w:themeColor="text1"/>
                <w:szCs w:val="21"/>
              </w:rPr>
              <w:t>/O工艺</w:t>
            </w:r>
          </w:p>
        </w:tc>
        <w:tc>
          <w:tcPr>
            <w:tcW w:w="1876" w:type="dxa"/>
            <w:tcBorders>
              <w:top w:val="single" w:color="auto" w:sz="4" w:space="0"/>
            </w:tcBorders>
            <w:vAlign w:val="center"/>
          </w:tcPr>
          <w:p>
            <w:pPr>
              <w:pStyle w:val="83"/>
              <w:jc w:val="both"/>
              <w:rPr>
                <w:color w:val="000000" w:themeColor="text1"/>
                <w:szCs w:val="21"/>
              </w:rPr>
            </w:pPr>
            <w:r>
              <w:rPr>
                <w:rFonts w:hint="eastAsia" w:hAnsi="宋体" w:eastAsia="宋体"/>
                <w:color w:val="000000" w:themeColor="text1"/>
                <w:szCs w:val="21"/>
              </w:rPr>
              <w:t>达到《农田灌溉水质标准》（GB5084-2005）中相应标准后，用于附近农田及牧草种植基地灌溉用水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86" w:hRule="atLeast"/>
          <w:jc w:val="center"/>
        </w:trPr>
        <w:tc>
          <w:tcPr>
            <w:tcW w:w="705" w:type="dxa"/>
            <w:vMerge w:val="restart"/>
            <w:vAlign w:val="center"/>
          </w:tcPr>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固</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体</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废</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物</w:t>
            </w:r>
          </w:p>
        </w:tc>
        <w:tc>
          <w:tcPr>
            <w:tcW w:w="420" w:type="dxa"/>
            <w:vMerge w:val="restart"/>
            <w:tcBorders>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施工期</w:t>
            </w:r>
          </w:p>
        </w:tc>
        <w:tc>
          <w:tcPr>
            <w:tcW w:w="1155" w:type="dxa"/>
            <w:tcBorders>
              <w:left w:val="single" w:color="auto" w:sz="4" w:space="0"/>
            </w:tcBorders>
            <w:vAlign w:val="center"/>
          </w:tcPr>
          <w:p>
            <w:pPr>
              <w:jc w:val="center"/>
              <w:rPr>
                <w:color w:val="000000" w:themeColor="text1"/>
                <w:szCs w:val="21"/>
              </w:rPr>
            </w:pPr>
            <w:r>
              <w:rPr>
                <w:color w:val="000000" w:themeColor="text1"/>
                <w:kern w:val="0"/>
                <w:szCs w:val="21"/>
              </w:rPr>
              <w:t>建筑垃圾</w:t>
            </w:r>
          </w:p>
        </w:tc>
        <w:tc>
          <w:tcPr>
            <w:tcW w:w="1680" w:type="dxa"/>
            <w:vAlign w:val="center"/>
          </w:tcPr>
          <w:p>
            <w:pPr>
              <w:jc w:val="center"/>
              <w:rPr>
                <w:color w:val="000000" w:themeColor="text1"/>
                <w:szCs w:val="21"/>
              </w:rPr>
            </w:pPr>
            <w:r>
              <w:rPr>
                <w:rFonts w:hint="eastAsia"/>
                <w:color w:val="000000" w:themeColor="text1"/>
                <w:kern w:val="0"/>
                <w:szCs w:val="21"/>
              </w:rPr>
              <w:t>废建筑材料</w:t>
            </w:r>
          </w:p>
        </w:tc>
        <w:tc>
          <w:tcPr>
            <w:tcW w:w="3045" w:type="dxa"/>
            <w:vAlign w:val="center"/>
          </w:tcPr>
          <w:p>
            <w:pPr>
              <w:rPr>
                <w:color w:val="000000" w:themeColor="text1"/>
                <w:szCs w:val="21"/>
              </w:rPr>
            </w:pPr>
            <w:r>
              <w:rPr>
                <w:color w:val="000000" w:themeColor="text1"/>
                <w:kern w:val="0"/>
                <w:szCs w:val="21"/>
              </w:rPr>
              <w:t>集中堆放，统一清运，尽量回收利用</w:t>
            </w:r>
          </w:p>
        </w:tc>
        <w:tc>
          <w:tcPr>
            <w:tcW w:w="1876" w:type="dxa"/>
            <w:vMerge w:val="restart"/>
            <w:tcBorders>
              <w:top w:val="single" w:color="auto" w:sz="4" w:space="0"/>
            </w:tcBorders>
            <w:vAlign w:val="center"/>
          </w:tcPr>
          <w:p>
            <w:pPr>
              <w:pStyle w:val="9"/>
              <w:ind w:firstLine="0"/>
              <w:rPr>
                <w:rFonts w:hAnsi="宋体" w:eastAsia="宋体"/>
                <w:color w:val="000000" w:themeColor="text1"/>
                <w:szCs w:val="21"/>
              </w:rPr>
            </w:pPr>
            <w:r>
              <w:rPr>
                <w:rFonts w:hAnsi="宋体" w:eastAsia="宋体"/>
                <w:color w:val="000000" w:themeColor="text1"/>
                <w:szCs w:val="21"/>
              </w:rPr>
              <w:t>不会对周围环境产生直接影响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61" w:hRule="atLeast"/>
          <w:jc w:val="center"/>
        </w:trPr>
        <w:tc>
          <w:tcPr>
            <w:tcW w:w="705" w:type="dxa"/>
            <w:vMerge w:val="continue"/>
            <w:vAlign w:val="center"/>
          </w:tcPr>
          <w:p>
            <w:pPr>
              <w:jc w:val="center"/>
              <w:rPr>
                <w:rFonts w:ascii="Times New Roman" w:hAnsi="Times New Roman"/>
                <w:b/>
                <w:color w:val="000000" w:themeColor="text1"/>
                <w:sz w:val="24"/>
                <w:szCs w:val="24"/>
              </w:rPr>
            </w:pPr>
          </w:p>
        </w:tc>
        <w:tc>
          <w:tcPr>
            <w:tcW w:w="420" w:type="dxa"/>
            <w:vMerge w:val="continue"/>
            <w:tcBorders>
              <w:right w:val="single" w:color="auto" w:sz="4" w:space="0"/>
            </w:tcBorders>
            <w:vAlign w:val="center"/>
          </w:tcPr>
          <w:p>
            <w:pPr>
              <w:jc w:val="center"/>
              <w:rPr>
                <w:rFonts w:ascii="Times New Roman" w:hAnsi="Times New Roman"/>
                <w:color w:val="000000" w:themeColor="text1"/>
                <w:szCs w:val="21"/>
              </w:rPr>
            </w:pPr>
          </w:p>
        </w:tc>
        <w:tc>
          <w:tcPr>
            <w:tcW w:w="1155" w:type="dxa"/>
            <w:tcBorders>
              <w:left w:val="single" w:color="auto" w:sz="4" w:space="0"/>
            </w:tcBorders>
            <w:vAlign w:val="center"/>
          </w:tcPr>
          <w:p>
            <w:pPr>
              <w:jc w:val="center"/>
              <w:rPr>
                <w:color w:val="000000" w:themeColor="text1"/>
                <w:kern w:val="0"/>
                <w:szCs w:val="21"/>
              </w:rPr>
            </w:pPr>
            <w:r>
              <w:rPr>
                <w:color w:val="000000" w:themeColor="text1"/>
                <w:kern w:val="0"/>
                <w:szCs w:val="21"/>
              </w:rPr>
              <w:t>生活垃圾</w:t>
            </w:r>
          </w:p>
        </w:tc>
        <w:tc>
          <w:tcPr>
            <w:tcW w:w="1680" w:type="dxa"/>
            <w:vAlign w:val="center"/>
          </w:tcPr>
          <w:p>
            <w:pPr>
              <w:jc w:val="center"/>
              <w:rPr>
                <w:color w:val="000000" w:themeColor="text1"/>
                <w:kern w:val="0"/>
                <w:szCs w:val="21"/>
              </w:rPr>
            </w:pPr>
            <w:r>
              <w:rPr>
                <w:color w:val="000000" w:themeColor="text1"/>
                <w:kern w:val="0"/>
                <w:szCs w:val="21"/>
              </w:rPr>
              <w:t>生活垃圾</w:t>
            </w:r>
          </w:p>
        </w:tc>
        <w:tc>
          <w:tcPr>
            <w:tcW w:w="3045" w:type="dxa"/>
            <w:vAlign w:val="center"/>
          </w:tcPr>
          <w:p>
            <w:pPr>
              <w:adjustRightInd w:val="0"/>
              <w:snapToGrid w:val="0"/>
              <w:ind w:left="-105" w:leftChars="-50" w:right="-105" w:rightChars="-50"/>
              <w:jc w:val="center"/>
              <w:rPr>
                <w:color w:val="000000" w:themeColor="text1"/>
                <w:szCs w:val="21"/>
              </w:rPr>
            </w:pPr>
            <w:r>
              <w:rPr>
                <w:color w:val="000000" w:themeColor="text1"/>
                <w:szCs w:val="21"/>
              </w:rPr>
              <w:t>经分类收集后由当地环卫部门统一运送至城市垃圾处理厂处理</w:t>
            </w:r>
          </w:p>
        </w:tc>
        <w:tc>
          <w:tcPr>
            <w:tcW w:w="1876" w:type="dxa"/>
            <w:vMerge w:val="continue"/>
            <w:vAlign w:val="center"/>
          </w:tcPr>
          <w:p>
            <w:pPr>
              <w:pStyle w:val="9"/>
              <w:ind w:firstLine="0"/>
              <w:rPr>
                <w:rFonts w:hAnsi="宋体" w:eastAsia="宋体"/>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78" w:hRule="atLeast"/>
          <w:jc w:val="center"/>
        </w:trPr>
        <w:tc>
          <w:tcPr>
            <w:tcW w:w="705" w:type="dxa"/>
            <w:vMerge w:val="continue"/>
            <w:vAlign w:val="center"/>
          </w:tcPr>
          <w:p>
            <w:pPr>
              <w:jc w:val="center"/>
              <w:rPr>
                <w:rFonts w:ascii="Times New Roman" w:hAnsi="Times New Roman"/>
                <w:b/>
                <w:color w:val="000000" w:themeColor="text1"/>
                <w:sz w:val="24"/>
                <w:szCs w:val="24"/>
              </w:rPr>
            </w:pPr>
          </w:p>
        </w:tc>
        <w:tc>
          <w:tcPr>
            <w:tcW w:w="420" w:type="dxa"/>
            <w:vMerge w:val="restart"/>
            <w:tcBorders>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运营期</w:t>
            </w:r>
          </w:p>
        </w:tc>
        <w:tc>
          <w:tcPr>
            <w:tcW w:w="1155" w:type="dxa"/>
            <w:tcBorders>
              <w:left w:val="single" w:color="auto" w:sz="4"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生活垃圾</w:t>
            </w:r>
          </w:p>
        </w:tc>
        <w:tc>
          <w:tcPr>
            <w:tcW w:w="1680" w:type="dxa"/>
            <w:vAlign w:val="center"/>
          </w:tcPr>
          <w:p>
            <w:pPr>
              <w:jc w:val="center"/>
              <w:rPr>
                <w:rFonts w:ascii="Times New Roman" w:hAnsi="Times New Roman"/>
                <w:color w:val="000000" w:themeColor="text1"/>
                <w:szCs w:val="21"/>
              </w:rPr>
            </w:pPr>
            <w:r>
              <w:rPr>
                <w:rFonts w:ascii="Times New Roman" w:hAnsi="Times New Roman"/>
                <w:color w:val="000000" w:themeColor="text1"/>
                <w:szCs w:val="21"/>
              </w:rPr>
              <w:t>生活垃圾</w:t>
            </w:r>
          </w:p>
        </w:tc>
        <w:tc>
          <w:tcPr>
            <w:tcW w:w="3045" w:type="dxa"/>
            <w:vAlign w:val="center"/>
          </w:tcPr>
          <w:p>
            <w:pPr>
              <w:ind w:hanging="5"/>
              <w:rPr>
                <w:rFonts w:ascii="Times New Roman" w:hAnsi="Times New Roman"/>
                <w:color w:val="000000" w:themeColor="text1"/>
                <w:szCs w:val="21"/>
              </w:rPr>
            </w:pPr>
            <w:r>
              <w:rPr>
                <w:rFonts w:ascii="Times New Roman" w:hAnsi="Times New Roman"/>
                <w:color w:val="000000" w:themeColor="text1"/>
                <w:szCs w:val="21"/>
              </w:rPr>
              <w:t>经分类收集后由当地环卫站统一运送至垃圾处理厂处理</w:t>
            </w:r>
          </w:p>
        </w:tc>
        <w:tc>
          <w:tcPr>
            <w:tcW w:w="1876" w:type="dxa"/>
            <w:vMerge w:val="restart"/>
            <w:tcBorders>
              <w:top w:val="single" w:color="auto" w:sz="4" w:space="0"/>
            </w:tcBorders>
            <w:vAlign w:val="center"/>
          </w:tcPr>
          <w:p>
            <w:pPr>
              <w:pStyle w:val="9"/>
              <w:ind w:firstLine="0"/>
              <w:rPr>
                <w:color w:val="000000" w:themeColor="text1"/>
                <w:szCs w:val="21"/>
              </w:rPr>
            </w:pPr>
            <w:r>
              <w:rPr>
                <w:rFonts w:hAnsi="宋体" w:eastAsia="宋体"/>
                <w:color w:val="000000" w:themeColor="text1"/>
                <w:szCs w:val="21"/>
              </w:rPr>
              <w:t>不会对周围环境产生直接影响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5" w:hRule="atLeast"/>
          <w:jc w:val="center"/>
        </w:trPr>
        <w:tc>
          <w:tcPr>
            <w:tcW w:w="705" w:type="dxa"/>
            <w:vMerge w:val="continue"/>
            <w:vAlign w:val="center"/>
          </w:tcPr>
          <w:p>
            <w:pPr>
              <w:jc w:val="center"/>
              <w:rPr>
                <w:rFonts w:ascii="Times New Roman" w:hAnsi="Times New Roman"/>
                <w:b/>
                <w:color w:val="000000" w:themeColor="text1"/>
                <w:sz w:val="24"/>
                <w:szCs w:val="24"/>
              </w:rPr>
            </w:pPr>
          </w:p>
        </w:tc>
        <w:tc>
          <w:tcPr>
            <w:tcW w:w="420" w:type="dxa"/>
            <w:vMerge w:val="continue"/>
            <w:tcBorders>
              <w:right w:val="single" w:color="auto" w:sz="4" w:space="0"/>
            </w:tcBorders>
            <w:vAlign w:val="center"/>
          </w:tcPr>
          <w:p>
            <w:pPr>
              <w:jc w:val="center"/>
              <w:rPr>
                <w:rFonts w:ascii="Times New Roman" w:hAnsi="Times New Roman"/>
                <w:color w:val="000000" w:themeColor="text1"/>
                <w:szCs w:val="21"/>
              </w:rPr>
            </w:pPr>
          </w:p>
        </w:tc>
        <w:tc>
          <w:tcPr>
            <w:tcW w:w="1155" w:type="dxa"/>
            <w:tcBorders>
              <w:left w:val="single" w:color="auto" w:sz="4" w:space="0"/>
              <w:bottom w:val="single" w:color="auto" w:sz="8"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一般工业固体废物</w:t>
            </w:r>
          </w:p>
        </w:tc>
        <w:tc>
          <w:tcPr>
            <w:tcW w:w="1680" w:type="dxa"/>
            <w:tcBorders>
              <w:bottom w:val="single" w:color="auto" w:sz="8" w:space="0"/>
            </w:tcBorders>
            <w:vAlign w:val="center"/>
          </w:tcPr>
          <w:p>
            <w:pPr>
              <w:rPr>
                <w:rFonts w:ascii="Times New Roman" w:hAnsi="Times New Roman"/>
                <w:color w:val="000000" w:themeColor="text1"/>
                <w:szCs w:val="21"/>
              </w:rPr>
            </w:pPr>
            <w:r>
              <w:rPr>
                <w:rFonts w:ascii="Times New Roman"/>
                <w:color w:val="000000" w:themeColor="text1"/>
                <w:szCs w:val="21"/>
              </w:rPr>
              <w:t>废沙石渣、剩余混凝土及沉淀池沉渣</w:t>
            </w:r>
          </w:p>
        </w:tc>
        <w:tc>
          <w:tcPr>
            <w:tcW w:w="3045" w:type="dxa"/>
            <w:tcBorders>
              <w:bottom w:val="single" w:color="auto" w:sz="8" w:space="0"/>
            </w:tcBorders>
            <w:vAlign w:val="center"/>
          </w:tcPr>
          <w:p>
            <w:pPr>
              <w:jc w:val="center"/>
              <w:rPr>
                <w:rFonts w:ascii="Times New Roman" w:hAnsi="Times New Roman"/>
                <w:color w:val="000000" w:themeColor="text1"/>
                <w:szCs w:val="21"/>
              </w:rPr>
            </w:pPr>
            <w:r>
              <w:rPr>
                <w:rFonts w:ascii="Times New Roman"/>
                <w:color w:val="000000" w:themeColor="text1"/>
                <w:szCs w:val="21"/>
              </w:rPr>
              <w:t>集中收集后交有建筑垃圾处理能力的单位处理，对周围环境无直接影响</w:t>
            </w:r>
          </w:p>
        </w:tc>
        <w:tc>
          <w:tcPr>
            <w:tcW w:w="1876" w:type="dxa"/>
            <w:vMerge w:val="continue"/>
            <w:vAlign w:val="center"/>
          </w:tcPr>
          <w:p>
            <w:pPr>
              <w:pStyle w:val="9"/>
              <w:ind w:firstLine="0"/>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24" w:hRule="atLeast"/>
          <w:jc w:val="center"/>
        </w:trPr>
        <w:tc>
          <w:tcPr>
            <w:tcW w:w="705" w:type="dxa"/>
            <w:vMerge w:val="continue"/>
            <w:vAlign w:val="center"/>
          </w:tcPr>
          <w:p>
            <w:pPr>
              <w:jc w:val="center"/>
              <w:rPr>
                <w:rFonts w:ascii="Times New Roman" w:hAnsi="Times New Roman"/>
                <w:b/>
                <w:color w:val="000000" w:themeColor="text1"/>
                <w:sz w:val="24"/>
                <w:szCs w:val="24"/>
                <w:highlight w:val="yellow"/>
              </w:rPr>
            </w:pPr>
          </w:p>
        </w:tc>
        <w:tc>
          <w:tcPr>
            <w:tcW w:w="420" w:type="dxa"/>
            <w:vMerge w:val="continue"/>
            <w:tcBorders>
              <w:bottom w:val="single" w:color="auto" w:sz="8" w:space="0"/>
              <w:right w:val="single" w:color="auto" w:sz="4" w:space="0"/>
            </w:tcBorders>
            <w:vAlign w:val="center"/>
          </w:tcPr>
          <w:p>
            <w:pPr>
              <w:adjustRightInd w:val="0"/>
              <w:snapToGrid w:val="0"/>
              <w:jc w:val="center"/>
              <w:rPr>
                <w:rFonts w:ascii="Times New Roman" w:hAnsi="Times New Roman"/>
                <w:color w:val="000000" w:themeColor="text1"/>
                <w:szCs w:val="21"/>
              </w:rPr>
            </w:pPr>
          </w:p>
        </w:tc>
        <w:tc>
          <w:tcPr>
            <w:tcW w:w="1155" w:type="dxa"/>
            <w:tcBorders>
              <w:left w:val="single" w:color="auto" w:sz="4" w:space="0"/>
              <w:bottom w:val="single" w:color="auto" w:sz="8" w:space="0"/>
            </w:tcBorders>
            <w:vAlign w:val="center"/>
          </w:tcPr>
          <w:p>
            <w:pPr>
              <w:adjustRightInd w:val="0"/>
              <w:snapToGrid w:val="0"/>
              <w:jc w:val="center"/>
              <w:rPr>
                <w:rFonts w:ascii="Times New Roman" w:hAnsi="Times New Roman"/>
                <w:color w:val="000000" w:themeColor="text1"/>
                <w:szCs w:val="21"/>
              </w:rPr>
            </w:pPr>
            <w:r>
              <w:rPr>
                <w:rFonts w:ascii="Times New Roman"/>
                <w:bCs/>
                <w:color w:val="000000" w:themeColor="text1"/>
                <w:szCs w:val="21"/>
              </w:rPr>
              <w:t>严控废物</w:t>
            </w:r>
          </w:p>
        </w:tc>
        <w:tc>
          <w:tcPr>
            <w:tcW w:w="1680" w:type="dxa"/>
            <w:tcBorders>
              <w:bottom w:val="single" w:color="auto" w:sz="8" w:space="0"/>
            </w:tcBorders>
            <w:vAlign w:val="center"/>
          </w:tcPr>
          <w:p>
            <w:pPr>
              <w:adjustRightInd w:val="0"/>
              <w:snapToGrid w:val="0"/>
              <w:jc w:val="center"/>
              <w:rPr>
                <w:rFonts w:ascii="Times New Roman" w:hAnsi="Times New Roman"/>
                <w:bCs/>
                <w:color w:val="000000" w:themeColor="text1"/>
                <w:szCs w:val="21"/>
              </w:rPr>
            </w:pPr>
            <w:r>
              <w:rPr>
                <w:rFonts w:ascii="Times New Roman"/>
                <w:bCs/>
                <w:color w:val="000000" w:themeColor="text1"/>
                <w:szCs w:val="21"/>
              </w:rPr>
              <w:t>餐厨垃圾</w:t>
            </w:r>
          </w:p>
        </w:tc>
        <w:tc>
          <w:tcPr>
            <w:tcW w:w="3045" w:type="dxa"/>
            <w:tcBorders>
              <w:bottom w:val="single" w:color="auto" w:sz="8" w:space="0"/>
            </w:tcBorders>
            <w:vAlign w:val="center"/>
          </w:tcPr>
          <w:p>
            <w:pPr>
              <w:rPr>
                <w:rFonts w:ascii="Times New Roman" w:hAnsi="Times New Roman"/>
                <w:color w:val="000000" w:themeColor="text1"/>
                <w:szCs w:val="21"/>
              </w:rPr>
            </w:pPr>
            <w:r>
              <w:rPr>
                <w:rFonts w:ascii="Times New Roman"/>
                <w:color w:val="000000" w:themeColor="text1"/>
                <w:szCs w:val="21"/>
              </w:rPr>
              <w:t>统一处理后交有餐厨垃圾处理资质的单位处置</w:t>
            </w:r>
          </w:p>
        </w:tc>
        <w:tc>
          <w:tcPr>
            <w:tcW w:w="1876" w:type="dxa"/>
            <w:vMerge w:val="continue"/>
            <w:vAlign w:val="center"/>
          </w:tcPr>
          <w:p>
            <w:pPr>
              <w:pStyle w:val="9"/>
              <w:ind w:firstLine="0"/>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05" w:hRule="atLeast"/>
          <w:jc w:val="center"/>
        </w:trPr>
        <w:tc>
          <w:tcPr>
            <w:tcW w:w="705" w:type="dxa"/>
            <w:vMerge w:val="restart"/>
            <w:vAlign w:val="center"/>
          </w:tcPr>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噪</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声</w:t>
            </w:r>
          </w:p>
        </w:tc>
        <w:tc>
          <w:tcPr>
            <w:tcW w:w="420" w:type="dxa"/>
            <w:tcBorders>
              <w:bottom w:val="single" w:color="auto" w:sz="4" w:space="0"/>
              <w:right w:val="single" w:color="auto" w:sz="4" w:space="0"/>
            </w:tcBorders>
            <w:vAlign w:val="center"/>
          </w:tcPr>
          <w:p>
            <w:pPr>
              <w:rPr>
                <w:rFonts w:ascii="Times New Roman" w:hAnsi="Times New Roman"/>
                <w:color w:val="000000" w:themeColor="text1"/>
                <w:szCs w:val="21"/>
              </w:rPr>
            </w:pPr>
            <w:r>
              <w:rPr>
                <w:rFonts w:hint="eastAsia" w:ascii="Times New Roman" w:hAnsi="Times New Roman"/>
                <w:color w:val="000000" w:themeColor="text1"/>
                <w:szCs w:val="21"/>
              </w:rPr>
              <w:t>施工期</w:t>
            </w:r>
          </w:p>
        </w:tc>
        <w:tc>
          <w:tcPr>
            <w:tcW w:w="1155" w:type="dxa"/>
            <w:tcBorders>
              <w:left w:val="single" w:color="auto" w:sz="4" w:space="0"/>
              <w:bottom w:val="single" w:color="auto" w:sz="4" w:space="0"/>
              <w:right w:val="single" w:color="auto" w:sz="4" w:space="0"/>
            </w:tcBorders>
            <w:vAlign w:val="center"/>
          </w:tcPr>
          <w:p>
            <w:pPr>
              <w:rPr>
                <w:rFonts w:ascii="Times New Roman" w:hAnsi="Times New Roman"/>
                <w:color w:val="000000" w:themeColor="text1"/>
                <w:szCs w:val="21"/>
              </w:rPr>
            </w:pPr>
            <w:r>
              <w:rPr>
                <w:rFonts w:hint="eastAsia" w:ascii="Times New Roman" w:hAnsi="Times New Roman"/>
                <w:color w:val="000000" w:themeColor="text1"/>
                <w:szCs w:val="21"/>
              </w:rPr>
              <w:t>打桩机、推土机、挖掘机、搅拌机、吊车等</w:t>
            </w:r>
          </w:p>
        </w:tc>
        <w:tc>
          <w:tcPr>
            <w:tcW w:w="1680" w:type="dxa"/>
            <w:tcBorders>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施工噪声</w:t>
            </w:r>
          </w:p>
        </w:tc>
        <w:tc>
          <w:tcPr>
            <w:tcW w:w="3045" w:type="dxa"/>
            <w:tcBorders>
              <w:left w:val="single" w:color="auto" w:sz="4" w:space="0"/>
              <w:bottom w:val="single" w:color="auto" w:sz="4" w:space="0"/>
              <w:right w:val="single" w:color="auto" w:sz="4" w:space="0"/>
            </w:tcBorders>
            <w:vAlign w:val="center"/>
          </w:tcPr>
          <w:p>
            <w:pPr>
              <w:rPr>
                <w:rFonts w:ascii="Times New Roman" w:hAnsi="Times New Roman"/>
                <w:color w:val="000000" w:themeColor="text1"/>
                <w:szCs w:val="21"/>
              </w:rPr>
            </w:pPr>
            <w:r>
              <w:rPr>
                <w:rFonts w:hint="eastAsia" w:ascii="Times New Roman" w:hAnsi="Times New Roman"/>
                <w:color w:val="000000" w:themeColor="text1"/>
                <w:szCs w:val="21"/>
              </w:rPr>
              <w:t>合理安排施工时间，尽量避免多台噪声设备同一地点同时使用；采用先进、低噪声设备，并加强管理和维护等</w:t>
            </w:r>
          </w:p>
        </w:tc>
        <w:tc>
          <w:tcPr>
            <w:tcW w:w="1876" w:type="dxa"/>
            <w:tcBorders>
              <w:left w:val="single" w:color="auto" w:sz="4" w:space="0"/>
              <w:bottom w:val="single" w:color="auto" w:sz="4" w:space="0"/>
            </w:tcBorders>
            <w:vAlign w:val="center"/>
          </w:tcPr>
          <w:p>
            <w:pPr>
              <w:pStyle w:val="83"/>
              <w:jc w:val="both"/>
              <w:rPr>
                <w:color w:val="000000" w:themeColor="text1"/>
                <w:position w:val="0"/>
                <w:szCs w:val="21"/>
              </w:rPr>
            </w:pPr>
            <w:r>
              <w:rPr>
                <w:color w:val="000000" w:themeColor="text1"/>
                <w:kern w:val="0"/>
                <w:szCs w:val="21"/>
              </w:rPr>
              <w:t>满足《建筑施工场界环境噪声排放标准》（GB12523-2011）</w:t>
            </w:r>
            <w:r>
              <w:rPr>
                <w:rFonts w:hint="eastAsia"/>
                <w:color w:val="000000" w:themeColor="text1"/>
                <w:kern w:val="0"/>
                <w:szCs w:val="21"/>
              </w:rPr>
              <w:t>相应标准要求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2" w:hRule="atLeast"/>
          <w:jc w:val="center"/>
        </w:trPr>
        <w:tc>
          <w:tcPr>
            <w:tcW w:w="705" w:type="dxa"/>
            <w:vMerge w:val="continue"/>
            <w:tcBorders>
              <w:bottom w:val="single" w:color="auto" w:sz="4" w:space="0"/>
            </w:tcBorders>
            <w:vAlign w:val="center"/>
          </w:tcPr>
          <w:p>
            <w:pPr>
              <w:jc w:val="center"/>
              <w:rPr>
                <w:rFonts w:ascii="Times New Roman" w:hAnsi="Times New Roman"/>
                <w:b/>
                <w:color w:val="000000" w:themeColor="text1"/>
                <w:sz w:val="24"/>
                <w:szCs w:val="24"/>
              </w:rPr>
            </w:pPr>
          </w:p>
        </w:tc>
        <w:tc>
          <w:tcPr>
            <w:tcW w:w="420" w:type="dxa"/>
            <w:tcBorders>
              <w:bottom w:val="single" w:color="auto" w:sz="4" w:space="0"/>
              <w:right w:val="single" w:color="auto" w:sz="4" w:space="0"/>
            </w:tcBorders>
            <w:vAlign w:val="center"/>
          </w:tcPr>
          <w:p>
            <w:pPr>
              <w:rPr>
                <w:rFonts w:ascii="Times New Roman"/>
                <w:color w:val="000000" w:themeColor="text1"/>
                <w:szCs w:val="21"/>
              </w:rPr>
            </w:pPr>
            <w:r>
              <w:rPr>
                <w:rFonts w:hint="eastAsia" w:ascii="Times New Roman"/>
                <w:color w:val="000000" w:themeColor="text1"/>
                <w:szCs w:val="21"/>
              </w:rPr>
              <w:t>运营期</w:t>
            </w:r>
          </w:p>
        </w:tc>
        <w:tc>
          <w:tcPr>
            <w:tcW w:w="1155" w:type="dxa"/>
            <w:tcBorders>
              <w:left w:val="single" w:color="auto" w:sz="4" w:space="0"/>
              <w:bottom w:val="single" w:color="auto" w:sz="4" w:space="0"/>
              <w:right w:val="single" w:color="auto" w:sz="4" w:space="0"/>
            </w:tcBorders>
            <w:vAlign w:val="center"/>
          </w:tcPr>
          <w:p>
            <w:pPr>
              <w:rPr>
                <w:rFonts w:ascii="Times New Roman" w:hAnsi="Times New Roman"/>
                <w:color w:val="000000" w:themeColor="text1"/>
                <w:szCs w:val="21"/>
              </w:rPr>
            </w:pPr>
            <w:r>
              <w:rPr>
                <w:rFonts w:ascii="Times New Roman"/>
                <w:color w:val="000000" w:themeColor="text1"/>
                <w:szCs w:val="21"/>
              </w:rPr>
              <w:t>混凝土生产线、装载机、搅拌运输车</w:t>
            </w:r>
          </w:p>
        </w:tc>
        <w:tc>
          <w:tcPr>
            <w:tcW w:w="1680" w:type="dxa"/>
            <w:tcBorders>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生产噪声</w:t>
            </w:r>
          </w:p>
        </w:tc>
        <w:tc>
          <w:tcPr>
            <w:tcW w:w="3045" w:type="dxa"/>
            <w:tcBorders>
              <w:left w:val="single" w:color="auto" w:sz="4" w:space="0"/>
              <w:bottom w:val="single" w:color="auto" w:sz="4" w:space="0"/>
              <w:right w:val="single" w:color="auto" w:sz="4" w:space="0"/>
            </w:tcBorders>
            <w:vAlign w:val="center"/>
          </w:tcPr>
          <w:p>
            <w:pPr>
              <w:rPr>
                <w:rFonts w:ascii="Times New Roman" w:hAnsi="Times New Roman"/>
                <w:color w:val="000000" w:themeColor="text1"/>
                <w:szCs w:val="21"/>
              </w:rPr>
            </w:pPr>
            <w:r>
              <w:rPr>
                <w:rFonts w:ascii="Times New Roman"/>
                <w:color w:val="000000" w:themeColor="text1"/>
                <w:szCs w:val="21"/>
              </w:rPr>
              <w:t>限制搅拌运输车行驶车速及禁止鸣笛，搅拌运输车经过的重要路段作隔声屏障处理，降低搅拌运输车产生的交通噪声；加强管理，加强对设备机搅拌运输车的维修保养。</w:t>
            </w:r>
            <w:r>
              <w:rPr>
                <w:rFonts w:ascii="Times New Roman" w:hAnsi="Times New Roman"/>
                <w:snapToGrid w:val="0"/>
                <w:color w:val="000000" w:themeColor="text1"/>
                <w:kern w:val="18"/>
                <w:szCs w:val="21"/>
              </w:rPr>
              <w:t>另外</w:t>
            </w:r>
            <w:r>
              <w:rPr>
                <w:rFonts w:ascii="Times New Roman" w:hAnsi="Times New Roman"/>
                <w:bCs/>
                <w:color w:val="000000" w:themeColor="text1"/>
                <w:szCs w:val="21"/>
              </w:rPr>
              <w:t>项目夜间不从事任何生产活动。</w:t>
            </w:r>
          </w:p>
        </w:tc>
        <w:tc>
          <w:tcPr>
            <w:tcW w:w="1876" w:type="dxa"/>
            <w:tcBorders>
              <w:left w:val="single" w:color="auto" w:sz="4" w:space="0"/>
              <w:bottom w:val="single" w:color="auto" w:sz="4" w:space="0"/>
            </w:tcBorders>
            <w:vAlign w:val="center"/>
          </w:tcPr>
          <w:p>
            <w:pPr>
              <w:pStyle w:val="83"/>
              <w:jc w:val="both"/>
              <w:rPr>
                <w:color w:val="000000" w:themeColor="text1"/>
                <w:position w:val="0"/>
                <w:szCs w:val="21"/>
              </w:rPr>
            </w:pPr>
            <w:r>
              <w:rPr>
                <w:rFonts w:hAnsi="宋体" w:eastAsia="宋体"/>
                <w:color w:val="000000" w:themeColor="text1"/>
                <w:szCs w:val="21"/>
              </w:rPr>
              <w:t>执行《工业企业厂界环境噪声排放标准》（</w:t>
            </w:r>
            <w:r>
              <w:rPr>
                <w:color w:val="000000" w:themeColor="text1"/>
                <w:szCs w:val="21"/>
              </w:rPr>
              <w:t>GB12348-2008</w:t>
            </w:r>
            <w:r>
              <w:rPr>
                <w:rFonts w:hAnsi="宋体" w:eastAsia="宋体"/>
                <w:color w:val="000000" w:themeColor="text1"/>
                <w:szCs w:val="21"/>
              </w:rPr>
              <w:t>）中的</w:t>
            </w:r>
            <w:r>
              <w:rPr>
                <w:rFonts w:hint="eastAsia"/>
                <w:color w:val="000000" w:themeColor="text1"/>
                <w:szCs w:val="21"/>
              </w:rPr>
              <w:t>2</w:t>
            </w:r>
            <w:r>
              <w:rPr>
                <w:rFonts w:hAnsi="宋体" w:eastAsia="宋体"/>
                <w:color w:val="000000" w:themeColor="text1"/>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jc w:val="center"/>
        </w:trPr>
        <w:tc>
          <w:tcPr>
            <w:tcW w:w="705" w:type="dxa"/>
            <w:tcBorders>
              <w:top w:val="single" w:color="auto" w:sz="4" w:space="0"/>
              <w:bottom w:val="single" w:color="auto" w:sz="4" w:space="0"/>
            </w:tcBorders>
            <w:vAlign w:val="center"/>
          </w:tcPr>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其</w:t>
            </w:r>
          </w:p>
          <w:p>
            <w:pPr>
              <w:jc w:val="center"/>
              <w:rPr>
                <w:rFonts w:ascii="Times New Roman" w:hAnsi="Times New Roman"/>
                <w:b/>
                <w:color w:val="000000" w:themeColor="text1"/>
                <w:sz w:val="24"/>
                <w:szCs w:val="24"/>
              </w:rPr>
            </w:pPr>
            <w:r>
              <w:rPr>
                <w:rFonts w:ascii="Times New Roman" w:hAnsi="Times New Roman"/>
                <w:b/>
                <w:color w:val="000000" w:themeColor="text1"/>
                <w:sz w:val="24"/>
                <w:szCs w:val="24"/>
              </w:rPr>
              <w:t>他</w:t>
            </w:r>
          </w:p>
        </w:tc>
        <w:tc>
          <w:tcPr>
            <w:tcW w:w="8176" w:type="dxa"/>
            <w:gridSpan w:val="5"/>
            <w:tcBorders>
              <w:top w:val="single" w:color="auto" w:sz="4" w:space="0"/>
              <w:bottom w:val="single" w:color="auto" w:sz="4" w:space="0"/>
            </w:tcBorders>
            <w:vAlign w:val="center"/>
          </w:tcPr>
          <w:p>
            <w:pPr>
              <w:pStyle w:val="83"/>
              <w:rPr>
                <w:color w:val="000000" w:themeColor="text1"/>
                <w:sz w:val="24"/>
                <w:szCs w:val="24"/>
              </w:rPr>
            </w:pPr>
            <w:r>
              <w:rPr>
                <w:color w:val="000000" w:themeColor="text1"/>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3" w:hRule="atLeast"/>
          <w:jc w:val="center"/>
        </w:trPr>
        <w:tc>
          <w:tcPr>
            <w:tcW w:w="8881" w:type="dxa"/>
            <w:gridSpan w:val="6"/>
            <w:tcBorders>
              <w:top w:val="single" w:color="auto" w:sz="4" w:space="0"/>
            </w:tcBorders>
          </w:tcPr>
          <w:p>
            <w:pPr>
              <w:rPr>
                <w:rFonts w:ascii="Times New Roman" w:hAnsi="Times New Roman"/>
                <w:b/>
                <w:color w:val="000000" w:themeColor="text1"/>
                <w:sz w:val="24"/>
                <w:szCs w:val="24"/>
              </w:rPr>
            </w:pPr>
            <w:r>
              <w:rPr>
                <w:rFonts w:ascii="Times New Roman" w:hAnsi="Times New Roman"/>
                <w:b/>
                <w:color w:val="000000" w:themeColor="text1"/>
                <w:sz w:val="24"/>
                <w:szCs w:val="24"/>
              </w:rPr>
              <w:t>生态保护措施及预期效果：</w:t>
            </w:r>
          </w:p>
          <w:p>
            <w:pPr>
              <w:spacing w:line="360" w:lineRule="auto"/>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项目施工期的地基开挖、基础工程施工过程中会造成一定程度的水土流失。要求施工单位在施工完后应尽快将裸露土地绿化；在建筑物周围种植树木、花卉，减轻对生态环境的影响。</w:t>
            </w:r>
          </w:p>
          <w:p>
            <w:pPr>
              <w:ind w:firstLine="480" w:firstLineChars="200"/>
              <w:rPr>
                <w:rFonts w:ascii="Times New Roman" w:hAnsi="Times New Roman"/>
                <w:color w:val="000000" w:themeColor="text1"/>
                <w:sz w:val="24"/>
                <w:szCs w:val="24"/>
              </w:rPr>
            </w:pPr>
          </w:p>
          <w:p>
            <w:pPr>
              <w:rPr>
                <w:rFonts w:ascii="Times New Roman" w:hAnsi="Times New Roman"/>
                <w:color w:val="000000" w:themeColor="text1"/>
                <w:sz w:val="24"/>
                <w:szCs w:val="24"/>
              </w:rPr>
            </w:pPr>
          </w:p>
        </w:tc>
      </w:tr>
    </w:tbl>
    <w:p>
      <w:pPr>
        <w:pStyle w:val="2"/>
        <w:jc w:val="both"/>
        <w:rPr>
          <w:rFonts w:ascii="Times New Roman" w:hAnsi="Times New Roman"/>
          <w:b/>
          <w:color w:val="000000" w:themeColor="text1"/>
          <w:sz w:val="28"/>
        </w:rPr>
      </w:pPr>
      <w:r>
        <w:rPr>
          <w:rFonts w:ascii="Times New Roman" w:hAnsi="宋体"/>
          <w:b/>
          <w:color w:val="000000" w:themeColor="text1"/>
          <w:sz w:val="28"/>
        </w:rPr>
        <w:t>项目建设合法性分析</w:t>
      </w:r>
      <w:bookmarkEnd w:id="16"/>
      <w:bookmarkEnd w:id="17"/>
    </w:p>
    <w:tbl>
      <w:tblPr>
        <w:tblStyle w:val="27"/>
        <w:tblW w:w="8919"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91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38" w:hRule="atLeast"/>
          <w:jc w:val="center"/>
        </w:trPr>
        <w:tc>
          <w:tcPr>
            <w:tcW w:w="8919" w:type="dxa"/>
          </w:tcPr>
          <w:p>
            <w:pPr>
              <w:spacing w:line="360" w:lineRule="auto"/>
              <w:ind w:firstLine="482" w:firstLineChars="200"/>
              <w:rPr>
                <w:rFonts w:ascii="Times New Roman" w:hAnsi="Times New Roman"/>
                <w:b/>
                <w:color w:val="000000" w:themeColor="text1"/>
                <w:sz w:val="24"/>
                <w:szCs w:val="24"/>
              </w:rPr>
            </w:pPr>
            <w:r>
              <w:rPr>
                <w:rFonts w:ascii="Times New Roman" w:hAnsi="宋体"/>
                <w:b/>
                <w:color w:val="000000" w:themeColor="text1"/>
                <w:sz w:val="24"/>
                <w:szCs w:val="24"/>
              </w:rPr>
              <w:t>一、选址合理性分析</w:t>
            </w:r>
          </w:p>
          <w:p>
            <w:pPr>
              <w:spacing w:line="360" w:lineRule="auto"/>
              <w:ind w:firstLine="482" w:firstLineChars="200"/>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ascii="Times New Roman" w:hAnsi="宋体"/>
                <w:b/>
                <w:color w:val="000000" w:themeColor="text1"/>
                <w:sz w:val="24"/>
                <w:szCs w:val="24"/>
              </w:rPr>
              <w:t>、与城市规划的相符性分析</w:t>
            </w:r>
          </w:p>
          <w:p>
            <w:pPr>
              <w:spacing w:line="360" w:lineRule="auto"/>
              <w:ind w:firstLine="464" w:firstLineChars="200"/>
              <w:rPr>
                <w:rFonts w:ascii="Times New Roman" w:hAnsi="Times New Roman"/>
                <w:color w:val="000000" w:themeColor="text1"/>
                <w:sz w:val="24"/>
                <w:szCs w:val="24"/>
              </w:rPr>
            </w:pPr>
            <w:r>
              <w:rPr>
                <w:rFonts w:ascii="Times New Roman" w:hAnsi="Times New Roman"/>
                <w:bCs/>
                <w:color w:val="000000" w:themeColor="text1"/>
                <w:spacing w:val="-4"/>
                <w:sz w:val="24"/>
                <w:szCs w:val="24"/>
              </w:rPr>
              <w:t>本项目所在区域为</w:t>
            </w:r>
            <w:r>
              <w:rPr>
                <w:rFonts w:hint="eastAsia" w:ascii="Times New Roman" w:hAnsi="Times New Roman"/>
                <w:color w:val="000000" w:themeColor="text1"/>
                <w:sz w:val="24"/>
                <w:szCs w:val="24"/>
              </w:rPr>
              <w:t>汕尾市</w:t>
            </w:r>
            <w:r>
              <w:rPr>
                <w:rFonts w:ascii="Times New Roman" w:hAnsi="Times New Roman"/>
                <w:color w:val="000000" w:themeColor="text1"/>
                <w:sz w:val="24"/>
                <w:szCs w:val="24"/>
              </w:rPr>
              <w:t>红海湾开发区田墘街道石新村委小马巷村后面荒山坡地</w:t>
            </w:r>
            <w:r>
              <w:rPr>
                <w:rFonts w:hint="eastAsia" w:ascii="Times New Roman" w:hAnsi="Times New Roman"/>
                <w:color w:val="000000" w:themeColor="text1"/>
                <w:sz w:val="24"/>
                <w:szCs w:val="24"/>
              </w:rPr>
              <w:t>，</w:t>
            </w:r>
            <w:r>
              <w:rPr>
                <w:rFonts w:ascii="Times New Roman" w:hAnsi="Times New Roman"/>
                <w:color w:val="000000" w:themeColor="text1"/>
                <w:sz w:val="24"/>
                <w:szCs w:val="24"/>
              </w:rPr>
              <w:t>与捷胜镇北门村委交界处</w:t>
            </w:r>
            <w:r>
              <w:rPr>
                <w:rFonts w:ascii="Times New Roman" w:hAnsi="Times New Roman"/>
                <w:bCs/>
                <w:color w:val="000000" w:themeColor="text1"/>
                <w:spacing w:val="-4"/>
                <w:sz w:val="24"/>
                <w:szCs w:val="24"/>
              </w:rPr>
              <w:t>，该项目已</w:t>
            </w:r>
            <w:r>
              <w:rPr>
                <w:rFonts w:ascii="Times New Roman" w:hAnsi="Times New Roman"/>
                <w:color w:val="000000" w:themeColor="text1"/>
                <w:sz w:val="24"/>
                <w:szCs w:val="24"/>
              </w:rPr>
              <w:t>取得</w:t>
            </w:r>
            <w:r>
              <w:rPr>
                <w:rFonts w:hint="eastAsia" w:ascii="Times New Roman" w:hAnsi="Times New Roman"/>
                <w:color w:val="000000" w:themeColor="text1"/>
                <w:sz w:val="24"/>
                <w:szCs w:val="24"/>
              </w:rPr>
              <w:t>汕尾市红海湾经济开发住建与环保规划局颁布的</w:t>
            </w:r>
            <w:r>
              <w:rPr>
                <w:rFonts w:ascii="Times New Roman" w:hAnsi="Times New Roman"/>
                <w:color w:val="000000" w:themeColor="text1"/>
                <w:sz w:val="24"/>
                <w:szCs w:val="24"/>
              </w:rPr>
              <w:t>《</w:t>
            </w:r>
            <w:r>
              <w:rPr>
                <w:rFonts w:hint="eastAsia" w:ascii="Times New Roman" w:hAnsi="Times New Roman"/>
                <w:color w:val="000000" w:themeColor="text1"/>
                <w:sz w:val="24"/>
                <w:szCs w:val="24"/>
              </w:rPr>
              <w:t>临时施工许可证</w:t>
            </w:r>
            <w:r>
              <w:rPr>
                <w:rFonts w:ascii="Times New Roman" w:hAnsi="Times New Roman"/>
                <w:color w:val="000000" w:themeColor="text1"/>
                <w:sz w:val="24"/>
                <w:szCs w:val="24"/>
              </w:rPr>
              <w:t>》（</w:t>
            </w:r>
            <w:r>
              <w:rPr>
                <w:rFonts w:hint="eastAsia" w:ascii="Times New Roman" w:hAnsi="Times New Roman"/>
                <w:color w:val="000000" w:themeColor="text1"/>
                <w:sz w:val="24"/>
                <w:szCs w:val="24"/>
              </w:rPr>
              <w:t>红建临字第2017002号</w:t>
            </w:r>
            <w:r>
              <w:rPr>
                <w:rFonts w:ascii="Times New Roman" w:hAnsi="Times New Roman"/>
                <w:color w:val="000000" w:themeColor="text1"/>
                <w:sz w:val="24"/>
                <w:szCs w:val="24"/>
              </w:rPr>
              <w:t>）</w:t>
            </w:r>
            <w:r>
              <w:rPr>
                <w:rFonts w:hint="eastAsia" w:ascii="Times New Roman" w:hAnsi="Times New Roman"/>
                <w:color w:val="000000" w:themeColor="text1"/>
                <w:sz w:val="24"/>
                <w:szCs w:val="24"/>
              </w:rPr>
              <w:t>，符合用地规划要求。</w:t>
            </w:r>
          </w:p>
          <w:p>
            <w:pPr>
              <w:spacing w:line="360" w:lineRule="auto"/>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2、项目产业政策相符性分析</w:t>
            </w:r>
          </w:p>
          <w:p>
            <w:pPr>
              <w:pStyle w:val="135"/>
              <w:ind w:firstLine="480"/>
              <w:rPr>
                <w:color w:val="000000" w:themeColor="text1"/>
                <w:lang w:eastAsia="zh-CN"/>
              </w:rPr>
            </w:pPr>
            <w:r>
              <w:rPr>
                <w:color w:val="000000" w:themeColor="text1"/>
                <w:lang w:eastAsia="zh-CN"/>
              </w:rPr>
              <w:t>对照《产业结构调整指导目录（2011年本）》（2013年2月16日修正）和《广东省主体功能区产业发展指导目录（2014年）》，本项目不属于目录中的鼓励类、限制类和淘汰类项目。</w:t>
            </w:r>
            <w:r>
              <w:rPr>
                <w:rFonts w:hint="eastAsia" w:ascii="宋体" w:hAnsi="宋体" w:cs="宋体"/>
                <w:color w:val="000000" w:themeColor="text1"/>
                <w:lang w:eastAsia="zh-CN"/>
              </w:rPr>
              <w:t>综上所述，本项目建设符合国家、广东省产业政策要求。</w:t>
            </w:r>
          </w:p>
          <w:p>
            <w:pPr>
              <w:pStyle w:val="61"/>
              <w:snapToGrid w:val="0"/>
              <w:ind w:firstLine="482" w:firstLineChars="200"/>
              <w:rPr>
                <w:rFonts w:ascii="Times New Roman" w:eastAsia="宋体"/>
                <w:b/>
                <w:color w:val="000000" w:themeColor="text1"/>
              </w:rPr>
            </w:pPr>
            <w:r>
              <w:rPr>
                <w:rFonts w:ascii="Times New Roman" w:eastAsia="宋体"/>
                <w:b/>
                <w:color w:val="000000" w:themeColor="text1"/>
              </w:rPr>
              <w:t>3</w:t>
            </w:r>
            <w:r>
              <w:rPr>
                <w:rFonts w:ascii="Times New Roman" w:hAnsi="宋体" w:eastAsia="宋体"/>
                <w:b/>
                <w:color w:val="000000" w:themeColor="text1"/>
              </w:rPr>
              <w:t>、与环境功能区划的符合性分析</w:t>
            </w:r>
          </w:p>
          <w:p>
            <w:pPr>
              <w:adjustRightInd w:val="0"/>
              <w:snapToGrid w:val="0"/>
              <w:spacing w:line="360" w:lineRule="auto"/>
              <w:ind w:firstLine="464" w:firstLineChars="200"/>
              <w:rPr>
                <w:rFonts w:ascii="Times New Roman" w:hAnsi="宋体"/>
                <w:bCs/>
                <w:color w:val="000000" w:themeColor="text1"/>
                <w:spacing w:val="-4"/>
                <w:sz w:val="24"/>
              </w:rPr>
            </w:pPr>
            <w:r>
              <w:rPr>
                <w:rFonts w:hint="eastAsia" w:ascii="Times New Roman" w:hAnsi="宋体"/>
                <w:bCs/>
                <w:color w:val="000000" w:themeColor="text1"/>
                <w:spacing w:val="-4"/>
                <w:sz w:val="24"/>
              </w:rPr>
              <w:t>本项目所在区域为</w:t>
            </w:r>
            <w:r>
              <w:rPr>
                <w:rFonts w:hint="eastAsia" w:ascii="Times New Roman" w:hAnsi="宋体"/>
                <w:color w:val="000000" w:themeColor="text1"/>
                <w:sz w:val="24"/>
              </w:rPr>
              <w:t>汕尾市</w:t>
            </w:r>
            <w:r>
              <w:rPr>
                <w:rFonts w:ascii="Times New Roman" w:hAnsi="宋体"/>
                <w:color w:val="000000" w:themeColor="text1"/>
                <w:sz w:val="24"/>
              </w:rPr>
              <w:t>红海湾开发区田墘街道石新村委小马巷村后面荒山坡地</w:t>
            </w:r>
            <w:r>
              <w:rPr>
                <w:rFonts w:hint="eastAsia" w:ascii="Times New Roman" w:hAnsi="宋体"/>
                <w:color w:val="000000" w:themeColor="text1"/>
                <w:sz w:val="24"/>
              </w:rPr>
              <w:t>，</w:t>
            </w:r>
            <w:r>
              <w:rPr>
                <w:rFonts w:ascii="Times New Roman" w:hAnsi="宋体"/>
                <w:color w:val="000000" w:themeColor="text1"/>
                <w:sz w:val="24"/>
              </w:rPr>
              <w:t>与捷胜镇北门村委交界处</w:t>
            </w:r>
            <w:r>
              <w:rPr>
                <w:rFonts w:hint="eastAsia" w:ascii="Times New Roman" w:hAnsi="宋体"/>
                <w:bCs/>
                <w:color w:val="000000" w:themeColor="text1"/>
                <w:spacing w:val="-4"/>
                <w:sz w:val="24"/>
              </w:rPr>
              <w:t>，依据《汕尾市城市总体规划》（2011-2020）的规划，项目所在区域属于环境空气质量功能区中的二类区。</w:t>
            </w:r>
          </w:p>
          <w:p>
            <w:pPr>
              <w:adjustRightInd w:val="0"/>
              <w:snapToGrid w:val="0"/>
              <w:spacing w:line="360" w:lineRule="auto"/>
              <w:ind w:firstLine="464" w:firstLineChars="200"/>
              <w:rPr>
                <w:rFonts w:ascii="Times New Roman" w:hAnsi="宋体"/>
                <w:bCs/>
                <w:color w:val="000000" w:themeColor="text1"/>
                <w:spacing w:val="-4"/>
                <w:sz w:val="24"/>
              </w:rPr>
            </w:pPr>
            <w:r>
              <w:rPr>
                <w:rFonts w:hint="eastAsia" w:ascii="Times New Roman" w:hAnsi="宋体"/>
                <w:bCs/>
                <w:color w:val="000000" w:themeColor="text1"/>
                <w:spacing w:val="-4"/>
                <w:sz w:val="24"/>
              </w:rPr>
              <w:t>项目所在区域声环境功能为2类功能区。本项目生活污水经污水处理装置处理达标后排入附近水域，</w:t>
            </w:r>
            <w:r>
              <w:rPr>
                <w:rFonts w:hint="eastAsia" w:ascii="Times New Roman" w:hAnsi="Times New Roman"/>
                <w:color w:val="000000" w:themeColor="text1"/>
                <w:kern w:val="0"/>
                <w:sz w:val="24"/>
                <w:szCs w:val="24"/>
              </w:rPr>
              <w:t>项目附近水体为品清湖盐业、旅游、鱼港功能区第二类功能区，执行《海洋水质标准》（GB3097-1997）中第二类海水水质标准。</w:t>
            </w:r>
          </w:p>
          <w:p>
            <w:pPr>
              <w:adjustRightInd w:val="0"/>
              <w:snapToGrid w:val="0"/>
              <w:spacing w:line="360" w:lineRule="auto"/>
              <w:ind w:firstLine="464" w:firstLineChars="200"/>
              <w:rPr>
                <w:rFonts w:ascii="Times New Roman" w:hAnsi="宋体"/>
                <w:bCs/>
                <w:color w:val="000000" w:themeColor="text1"/>
                <w:spacing w:val="-4"/>
                <w:sz w:val="24"/>
              </w:rPr>
            </w:pPr>
            <w:r>
              <w:rPr>
                <w:rFonts w:hint="eastAsia" w:ascii="Times New Roman" w:hAnsi="宋体"/>
                <w:bCs/>
                <w:color w:val="000000" w:themeColor="text1"/>
                <w:spacing w:val="-4"/>
                <w:sz w:val="24"/>
              </w:rPr>
              <w:t>综上所述，本项目的建设符合环境功能区划的要求。</w:t>
            </w:r>
          </w:p>
          <w:p>
            <w:pPr>
              <w:spacing w:line="360" w:lineRule="auto"/>
              <w:ind w:firstLine="482" w:firstLineChars="200"/>
              <w:rPr>
                <w:rFonts w:ascii="Times New Roman" w:hAnsi="Times New Roman"/>
                <w:b/>
                <w:color w:val="FF0000"/>
                <w:sz w:val="24"/>
                <w:szCs w:val="24"/>
              </w:rPr>
            </w:pPr>
          </w:p>
          <w:p>
            <w:pPr>
              <w:spacing w:line="360" w:lineRule="auto"/>
              <w:ind w:firstLine="482" w:firstLineChars="200"/>
              <w:rPr>
                <w:rFonts w:ascii="Times New Roman" w:hAnsi="Times New Roman"/>
                <w:b/>
                <w:color w:val="FF0000"/>
                <w:sz w:val="24"/>
                <w:szCs w:val="24"/>
              </w:rPr>
            </w:pPr>
          </w:p>
          <w:p>
            <w:pPr>
              <w:spacing w:line="360" w:lineRule="auto"/>
              <w:ind w:firstLine="482" w:firstLineChars="200"/>
              <w:rPr>
                <w:rFonts w:ascii="Times New Roman" w:hAnsi="Times New Roman"/>
                <w:b/>
                <w:color w:val="FF0000"/>
                <w:sz w:val="24"/>
                <w:szCs w:val="24"/>
              </w:rPr>
            </w:pPr>
          </w:p>
          <w:p>
            <w:pPr>
              <w:spacing w:line="360" w:lineRule="auto"/>
              <w:ind w:firstLine="482" w:firstLineChars="200"/>
              <w:rPr>
                <w:rFonts w:ascii="Times New Roman" w:hAnsi="Times New Roman"/>
                <w:b/>
                <w:color w:val="FF0000"/>
                <w:sz w:val="24"/>
                <w:szCs w:val="24"/>
              </w:rPr>
            </w:pPr>
          </w:p>
          <w:p>
            <w:pPr>
              <w:spacing w:line="360" w:lineRule="auto"/>
              <w:ind w:firstLine="482" w:firstLineChars="200"/>
              <w:rPr>
                <w:rFonts w:ascii="Times New Roman" w:hAnsi="Times New Roman"/>
                <w:b/>
                <w:color w:val="FF0000"/>
                <w:sz w:val="24"/>
                <w:szCs w:val="24"/>
              </w:rPr>
            </w:pPr>
          </w:p>
          <w:p>
            <w:pPr>
              <w:spacing w:line="360" w:lineRule="auto"/>
              <w:ind w:firstLine="482" w:firstLineChars="200"/>
              <w:rPr>
                <w:rFonts w:ascii="Times New Roman" w:hAnsi="Times New Roman"/>
                <w:b/>
                <w:color w:val="FF0000"/>
                <w:sz w:val="24"/>
                <w:szCs w:val="24"/>
              </w:rPr>
            </w:pPr>
          </w:p>
          <w:p>
            <w:pPr>
              <w:spacing w:line="360" w:lineRule="auto"/>
              <w:ind w:firstLine="482" w:firstLineChars="200"/>
              <w:rPr>
                <w:rFonts w:ascii="Times New Roman" w:hAnsi="Times New Roman"/>
                <w:b/>
                <w:color w:val="FF0000"/>
                <w:sz w:val="24"/>
                <w:szCs w:val="24"/>
              </w:rPr>
            </w:pPr>
          </w:p>
          <w:p>
            <w:pPr>
              <w:spacing w:line="360" w:lineRule="auto"/>
              <w:ind w:firstLine="482" w:firstLineChars="200"/>
              <w:rPr>
                <w:rFonts w:ascii="Times New Roman" w:hAnsi="Times New Roman"/>
                <w:b/>
                <w:color w:val="FF0000"/>
                <w:sz w:val="24"/>
                <w:szCs w:val="24"/>
              </w:rPr>
            </w:pPr>
          </w:p>
          <w:p>
            <w:pPr>
              <w:spacing w:line="360" w:lineRule="auto"/>
              <w:ind w:firstLine="482" w:firstLineChars="200"/>
              <w:rPr>
                <w:rFonts w:ascii="Times New Roman" w:hAnsi="Times New Roman"/>
                <w:b/>
                <w:color w:val="FF0000"/>
                <w:sz w:val="24"/>
                <w:szCs w:val="24"/>
              </w:rPr>
            </w:pPr>
          </w:p>
          <w:p>
            <w:pPr>
              <w:spacing w:line="360" w:lineRule="auto"/>
              <w:ind w:firstLine="482" w:firstLineChars="200"/>
              <w:rPr>
                <w:rFonts w:ascii="Times New Roman" w:hAnsi="Times New Roman"/>
                <w:b/>
                <w:color w:val="FF0000"/>
                <w:sz w:val="24"/>
                <w:szCs w:val="24"/>
              </w:rPr>
            </w:pPr>
          </w:p>
          <w:p>
            <w:pPr>
              <w:spacing w:line="360" w:lineRule="auto"/>
              <w:ind w:firstLine="480" w:firstLineChars="200"/>
              <w:rPr>
                <w:rFonts w:ascii="Times New Roman" w:hAnsi="Times New Roman"/>
                <w:color w:val="FF0000"/>
                <w:sz w:val="24"/>
                <w:szCs w:val="24"/>
              </w:rPr>
            </w:pPr>
          </w:p>
        </w:tc>
      </w:tr>
    </w:tbl>
    <w:p>
      <w:pPr>
        <w:pStyle w:val="2"/>
        <w:jc w:val="both"/>
        <w:rPr>
          <w:rFonts w:ascii="Times New Roman" w:hAnsi="Times New Roman"/>
          <w:b/>
          <w:color w:val="000000" w:themeColor="text1"/>
          <w:sz w:val="28"/>
        </w:rPr>
      </w:pPr>
      <w:bookmarkStart w:id="18" w:name="_Toc236472105"/>
      <w:bookmarkStart w:id="19" w:name="_Toc240863960"/>
      <w:r>
        <w:rPr>
          <w:rFonts w:ascii="Times New Roman" w:hAnsi="宋体"/>
          <w:b/>
          <w:color w:val="000000" w:themeColor="text1"/>
          <w:sz w:val="28"/>
        </w:rPr>
        <w:t>结论与建议</w:t>
      </w:r>
      <w:bookmarkEnd w:id="18"/>
      <w:bookmarkEnd w:id="19"/>
    </w:p>
    <w:tbl>
      <w:tblPr>
        <w:tblStyle w:val="27"/>
        <w:tblW w:w="8894"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65"/>
        <w:gridCol w:w="8610"/>
        <w:gridCol w:w="11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937" w:hRule="atLeast"/>
          <w:jc w:val="center"/>
        </w:trPr>
        <w:tc>
          <w:tcPr>
            <w:tcW w:w="8894" w:type="dxa"/>
            <w:gridSpan w:val="3"/>
          </w:tcPr>
          <w:p>
            <w:pPr>
              <w:widowControl/>
              <w:tabs>
                <w:tab w:val="center" w:pos="4538"/>
              </w:tabs>
              <w:spacing w:line="360" w:lineRule="auto"/>
              <w:ind w:firstLine="482" w:firstLineChars="200"/>
              <w:jc w:val="left"/>
              <w:rPr>
                <w:rFonts w:ascii="Times New Roman" w:hAnsi="Times New Roman"/>
                <w:b/>
                <w:color w:val="000000" w:themeColor="text1"/>
                <w:sz w:val="24"/>
                <w:szCs w:val="24"/>
              </w:rPr>
            </w:pPr>
            <w:r>
              <w:rPr>
                <w:rFonts w:ascii="Times New Roman" w:hAnsi="宋体"/>
                <w:b/>
                <w:color w:val="000000" w:themeColor="text1"/>
                <w:sz w:val="24"/>
                <w:szCs w:val="24"/>
              </w:rPr>
              <w:t>一、结论</w:t>
            </w:r>
          </w:p>
          <w:p>
            <w:pPr>
              <w:pStyle w:val="48"/>
              <w:rPr>
                <w:rFonts w:hAnsi="宋体"/>
                <w:color w:val="000000" w:themeColor="text1"/>
                <w:lang w:val="en-US" w:eastAsia="zh-CN"/>
              </w:rPr>
            </w:pPr>
            <w:r>
              <w:rPr>
                <w:rFonts w:hAnsi="宋体"/>
                <w:color w:val="000000" w:themeColor="text1"/>
                <w:lang w:val="en-US" w:eastAsia="zh-CN"/>
              </w:rPr>
              <w:t>汕尾市红海湾佳龙</w:t>
            </w:r>
            <w:r>
              <w:rPr>
                <w:rFonts w:hint="eastAsia" w:hAnsi="宋体"/>
                <w:color w:val="000000" w:themeColor="text1"/>
                <w:lang w:val="en-US" w:eastAsia="zh-CN"/>
              </w:rPr>
              <w:t>混凝土</w:t>
            </w:r>
            <w:r>
              <w:rPr>
                <w:rFonts w:hAnsi="宋体"/>
                <w:color w:val="000000" w:themeColor="text1"/>
                <w:lang w:val="en-US" w:eastAsia="zh-CN"/>
              </w:rPr>
              <w:t>有限公司成立于20</w:t>
            </w:r>
            <w:r>
              <w:rPr>
                <w:rFonts w:hint="eastAsia" w:hAnsi="宋体"/>
                <w:color w:val="000000" w:themeColor="text1"/>
                <w:lang w:val="en-US" w:eastAsia="zh-CN"/>
              </w:rPr>
              <w:t>16</w:t>
            </w:r>
            <w:r>
              <w:rPr>
                <w:rFonts w:hAnsi="宋体"/>
                <w:color w:val="000000" w:themeColor="text1"/>
                <w:lang w:val="en-US" w:eastAsia="zh-CN"/>
              </w:rPr>
              <w:t>年</w:t>
            </w:r>
            <w:r>
              <w:rPr>
                <w:rFonts w:hint="eastAsia" w:hAnsi="宋体"/>
                <w:color w:val="000000" w:themeColor="text1"/>
                <w:lang w:val="en-US" w:eastAsia="zh-CN"/>
              </w:rPr>
              <w:t>12</w:t>
            </w:r>
            <w:r>
              <w:rPr>
                <w:rFonts w:hAnsi="宋体"/>
                <w:color w:val="000000" w:themeColor="text1"/>
                <w:lang w:val="en-US" w:eastAsia="zh-CN"/>
              </w:rPr>
              <w:t>月（统一社会信用代码：</w:t>
            </w:r>
            <w:r>
              <w:rPr>
                <w:rFonts w:hint="eastAsia" w:hAnsi="宋体"/>
                <w:color w:val="000000" w:themeColor="text1"/>
                <w:lang w:val="en-US" w:eastAsia="zh-CN"/>
              </w:rPr>
              <w:t>91441500MA4W442845</w:t>
            </w:r>
            <w:r>
              <w:rPr>
                <w:rFonts w:hAnsi="宋体"/>
                <w:color w:val="000000" w:themeColor="text1"/>
                <w:lang w:val="en-US" w:eastAsia="zh-CN"/>
              </w:rPr>
              <w:t>），选址</w:t>
            </w:r>
            <w:r>
              <w:rPr>
                <w:rFonts w:hint="eastAsia" w:hAnsi="宋体"/>
                <w:color w:val="000000" w:themeColor="text1"/>
                <w:lang w:val="en-US" w:eastAsia="zh-CN"/>
              </w:rPr>
              <w:t>汕尾市</w:t>
            </w:r>
            <w:r>
              <w:rPr>
                <w:rFonts w:hAnsi="宋体"/>
                <w:color w:val="000000" w:themeColor="text1"/>
                <w:lang w:val="en-US" w:eastAsia="zh-CN"/>
              </w:rPr>
              <w:t>红海湾开发区田墘街道石新村委小马巷村后面荒山坡地</w:t>
            </w:r>
            <w:r>
              <w:rPr>
                <w:rFonts w:hint="eastAsia" w:hAnsi="宋体"/>
                <w:color w:val="000000" w:themeColor="text1"/>
                <w:lang w:val="en-US" w:eastAsia="zh-CN"/>
              </w:rPr>
              <w:t>，</w:t>
            </w:r>
            <w:r>
              <w:rPr>
                <w:rFonts w:hAnsi="宋体"/>
                <w:color w:val="000000" w:themeColor="text1"/>
                <w:lang w:val="en-US" w:eastAsia="zh-CN"/>
              </w:rPr>
              <w:t>与捷胜镇北门村委交界处</w:t>
            </w:r>
            <w:r>
              <w:rPr>
                <w:rFonts w:hint="eastAsia" w:hAnsi="宋体"/>
                <w:color w:val="000000" w:themeColor="text1"/>
                <w:lang w:val="en-US" w:eastAsia="zh-CN"/>
              </w:rPr>
              <w:t>（土地租赁合同见附件2），用地面积约8000平方米，从事商品混凝土、混凝土预制件、预拌砂浆及水泥预制件的生产。</w:t>
            </w:r>
          </w:p>
          <w:p>
            <w:pPr>
              <w:pStyle w:val="48"/>
              <w:rPr>
                <w:rFonts w:hAnsi="宋体"/>
                <w:color w:val="000000" w:themeColor="text1"/>
                <w:lang w:val="en-US" w:eastAsia="zh-CN"/>
              </w:rPr>
            </w:pPr>
            <w:r>
              <w:rPr>
                <w:rFonts w:hAnsi="宋体"/>
                <w:color w:val="000000" w:themeColor="text1"/>
                <w:lang w:val="en-US" w:eastAsia="zh-CN"/>
              </w:rPr>
              <w:t>项目总投资</w:t>
            </w:r>
            <w:r>
              <w:rPr>
                <w:rFonts w:hint="eastAsia" w:hAnsi="宋体"/>
                <w:color w:val="000000" w:themeColor="text1"/>
                <w:lang w:val="en-US" w:eastAsia="zh-CN"/>
              </w:rPr>
              <w:t>2500万元，占地面积8000平方米，其中拟建办公室10间、宿舍20间、食堂（占地面积500平方米），材料仓、实验室、养护室（占地面积400平方米），厂房一座（占地面积900平方米），料场（占地面积3500平方米），绿化面积（2000平方米），项目于2017年6月取得《临时工程许可证》（见附件3）。</w:t>
            </w:r>
          </w:p>
          <w:p>
            <w:pPr>
              <w:pStyle w:val="48"/>
              <w:rPr>
                <w:rFonts w:hAnsi="宋体"/>
                <w:b/>
                <w:color w:val="000000" w:themeColor="text1"/>
                <w:lang w:val="en-US" w:eastAsia="zh-CN"/>
              </w:rPr>
            </w:pPr>
            <w:r>
              <w:rPr>
                <w:rFonts w:hAnsi="宋体"/>
                <w:b/>
                <w:color w:val="000000" w:themeColor="text1"/>
                <w:lang w:val="en-US" w:eastAsia="zh-CN"/>
              </w:rPr>
              <w:t>二、环境质量现状结论</w:t>
            </w:r>
          </w:p>
          <w:p>
            <w:pPr>
              <w:autoSpaceDE w:val="0"/>
              <w:autoSpaceDN w:val="0"/>
              <w:adjustRightInd w:val="0"/>
              <w:spacing w:line="360" w:lineRule="auto"/>
              <w:ind w:firstLine="482" w:firstLineChars="200"/>
              <w:rPr>
                <w:rFonts w:ascii="Times New Roman" w:hAnsi="Times New Roman"/>
                <w:b/>
                <w:color w:val="000000" w:themeColor="text1"/>
                <w:kern w:val="0"/>
                <w:sz w:val="24"/>
                <w:szCs w:val="24"/>
              </w:rPr>
            </w:pPr>
            <w:r>
              <w:rPr>
                <w:rFonts w:ascii="Times New Roman" w:hAnsi="Times New Roman"/>
                <w:b/>
                <w:color w:val="000000" w:themeColor="text1"/>
                <w:kern w:val="0"/>
                <w:sz w:val="24"/>
                <w:szCs w:val="24"/>
              </w:rPr>
              <w:t>1、环境空气质量现状</w:t>
            </w:r>
          </w:p>
          <w:p>
            <w:pPr>
              <w:autoSpaceDE w:val="0"/>
              <w:autoSpaceDN w:val="0"/>
              <w:adjustRightInd w:val="0"/>
              <w:spacing w:line="360" w:lineRule="auto"/>
              <w:ind w:firstLine="480" w:firstLineChars="200"/>
              <w:rPr>
                <w:rFonts w:ascii="Times New Roman" w:hAnsi="Times New Roman"/>
                <w:color w:val="000000" w:themeColor="text1"/>
                <w:kern w:val="0"/>
                <w:sz w:val="24"/>
                <w:szCs w:val="24"/>
              </w:rPr>
            </w:pPr>
            <w:r>
              <w:rPr>
                <w:rFonts w:ascii="Times New Roman" w:hAnsi="Times New Roman"/>
                <w:color w:val="000000" w:themeColor="text1"/>
                <w:kern w:val="0"/>
                <w:sz w:val="24"/>
                <w:szCs w:val="24"/>
              </w:rPr>
              <w:t>项目附近所在区域属于环境空气二类功能区，执行《环境空气质量标准》（GB3095-2012）。根据广东省环境保护厅公众网中《2015年广东省环境状况公报》资料表明：各城市SO</w:t>
            </w:r>
            <w:r>
              <w:rPr>
                <w:rFonts w:ascii="Times New Roman" w:hAnsi="Times New Roman"/>
                <w:color w:val="000000" w:themeColor="text1"/>
                <w:kern w:val="0"/>
                <w:sz w:val="24"/>
                <w:szCs w:val="24"/>
                <w:vertAlign w:val="subscript"/>
              </w:rPr>
              <w:t>2</w:t>
            </w:r>
            <w:r>
              <w:rPr>
                <w:rFonts w:ascii="Times New Roman" w:hAnsi="Times New Roman"/>
                <w:color w:val="000000" w:themeColor="text1"/>
                <w:kern w:val="0"/>
                <w:sz w:val="24"/>
                <w:szCs w:val="24"/>
              </w:rPr>
              <w:t>年均值范围为7~20微克/立方米，均达到国家一级标准；各城市NO</w:t>
            </w:r>
            <w:r>
              <w:rPr>
                <w:rFonts w:ascii="Times New Roman" w:hAnsi="Times New Roman"/>
                <w:color w:val="000000" w:themeColor="text1"/>
                <w:kern w:val="0"/>
                <w:sz w:val="24"/>
                <w:szCs w:val="24"/>
                <w:vertAlign w:val="subscript"/>
              </w:rPr>
              <w:t>2</w:t>
            </w:r>
            <w:r>
              <w:rPr>
                <w:rFonts w:ascii="Times New Roman" w:hAnsi="Times New Roman"/>
                <w:color w:val="000000" w:themeColor="text1"/>
                <w:kern w:val="0"/>
                <w:sz w:val="24"/>
                <w:szCs w:val="24"/>
              </w:rPr>
              <w:t>年均值范围为13~47微克/立方米，除广州、佛山两市外、其余各城市均达到国家一级标准；各城市PM</w:t>
            </w:r>
            <w:r>
              <w:rPr>
                <w:rFonts w:ascii="Times New Roman" w:hAnsi="Times New Roman"/>
                <w:color w:val="000000" w:themeColor="text1"/>
                <w:kern w:val="0"/>
                <w:sz w:val="24"/>
                <w:szCs w:val="24"/>
                <w:vertAlign w:val="subscript"/>
              </w:rPr>
              <w:t>10</w:t>
            </w:r>
            <w:r>
              <w:rPr>
                <w:rFonts w:ascii="Times New Roman" w:hAnsi="Times New Roman"/>
                <w:color w:val="000000" w:themeColor="text1"/>
                <w:kern w:val="0"/>
                <w:sz w:val="24"/>
                <w:szCs w:val="24"/>
              </w:rPr>
              <w:t>年均值范围为41~59微克/立方米，均达到国家二级标准；各城市PM</w:t>
            </w:r>
            <w:r>
              <w:rPr>
                <w:rFonts w:ascii="Times New Roman" w:hAnsi="Times New Roman"/>
                <w:color w:val="000000" w:themeColor="text1"/>
                <w:kern w:val="0"/>
                <w:sz w:val="24"/>
                <w:szCs w:val="24"/>
                <w:vertAlign w:val="subscript"/>
              </w:rPr>
              <w:t>2.5</w:t>
            </w:r>
            <w:r>
              <w:rPr>
                <w:rFonts w:ascii="Times New Roman" w:hAnsi="Times New Roman"/>
                <w:color w:val="000000" w:themeColor="text1"/>
                <w:kern w:val="0"/>
                <w:sz w:val="24"/>
                <w:szCs w:val="24"/>
              </w:rPr>
              <w:t>年均值范围为27~40微克/立方米，除广州、佛山、肇庆、东莞、潮州、揭阳和顺德外，其余15个城市均达到国家二级标准；各城市CO第95百分位数范围为1.1~1.8 微克/立方米，均达到国家一级标准。由此说明项目所在地汕尾市的环境空气质量现状良好。</w:t>
            </w:r>
          </w:p>
          <w:p>
            <w:pPr>
              <w:autoSpaceDE w:val="0"/>
              <w:autoSpaceDN w:val="0"/>
              <w:adjustRightInd w:val="0"/>
              <w:spacing w:line="360" w:lineRule="auto"/>
              <w:ind w:firstLine="482" w:firstLineChars="200"/>
              <w:jc w:val="left"/>
              <w:rPr>
                <w:rFonts w:ascii="Times New Roman" w:hAnsi="Times New Roman"/>
                <w:b/>
                <w:color w:val="000000" w:themeColor="text1"/>
                <w:kern w:val="0"/>
                <w:sz w:val="24"/>
                <w:szCs w:val="24"/>
              </w:rPr>
            </w:pPr>
            <w:r>
              <w:rPr>
                <w:rFonts w:hint="eastAsia" w:ascii="Times New Roman" w:hAnsi="Times New Roman"/>
                <w:b/>
                <w:color w:val="000000" w:themeColor="text1"/>
                <w:kern w:val="0"/>
                <w:sz w:val="24"/>
                <w:szCs w:val="24"/>
              </w:rPr>
              <w:t>2、水环境质量现状</w:t>
            </w:r>
          </w:p>
          <w:p>
            <w:pPr>
              <w:autoSpaceDE w:val="0"/>
              <w:autoSpaceDN w:val="0"/>
              <w:adjustRightInd w:val="0"/>
              <w:spacing w:line="360" w:lineRule="auto"/>
              <w:ind w:firstLine="480" w:firstLineChars="200"/>
              <w:jc w:val="left"/>
              <w:rPr>
                <w:rFonts w:ascii="Times New Roman" w:hAnsi="Times New Roman"/>
                <w:color w:val="000000" w:themeColor="text1"/>
                <w:kern w:val="0"/>
                <w:sz w:val="24"/>
                <w:szCs w:val="24"/>
              </w:rPr>
            </w:pPr>
            <w:r>
              <w:rPr>
                <w:rFonts w:hint="eastAsia" w:ascii="Times New Roman" w:hAnsi="Times New Roman"/>
                <w:color w:val="000000" w:themeColor="text1"/>
                <w:kern w:val="0"/>
                <w:sz w:val="24"/>
                <w:szCs w:val="24"/>
              </w:rPr>
              <w:t>根据《关于调整汕尾市部分近岸海域环境功能区划的复函》（粤办函[2010]398 号），项目附近水体为品清湖盐业、旅游、鱼港功能区第二类功能区，执行《海洋水质标准》（GB3097-1997）中第二类海水水质标准。</w:t>
            </w:r>
          </w:p>
          <w:p>
            <w:pPr>
              <w:autoSpaceDE w:val="0"/>
              <w:autoSpaceDN w:val="0"/>
              <w:adjustRightInd w:val="0"/>
              <w:spacing w:line="360" w:lineRule="auto"/>
              <w:ind w:firstLine="480" w:firstLineChars="200"/>
              <w:rPr>
                <w:rFonts w:ascii="Times New Roman" w:hAnsi="Times New Roman"/>
                <w:color w:val="000000" w:themeColor="text1"/>
                <w:kern w:val="0"/>
                <w:sz w:val="24"/>
                <w:szCs w:val="24"/>
              </w:rPr>
            </w:pPr>
            <w:r>
              <w:rPr>
                <w:rFonts w:hint="eastAsia" w:ascii="Times New Roman" w:hAnsi="Times New Roman"/>
                <w:color w:val="000000" w:themeColor="text1"/>
                <w:kern w:val="0"/>
                <w:sz w:val="24"/>
                <w:szCs w:val="24"/>
              </w:rPr>
              <w:t>根据广东省环境保护厅公众网中《2015年广东省环境状况公报》资料表明：全省近岸海域功能区水质监测点位67个，按照《海水水质标准》（GB3097-1997）评价，水质达标率为94.0%，13个沿海城市中，除深圳为72.7%、东莞为0外，其余11个城市近岸海域水环境功能区均全部达标。由此说明项目所在地汕尾市品清湖域近岸海域水质现状满足《海水水质标准》（GB3097-1997）二类标准。</w:t>
            </w:r>
          </w:p>
          <w:p>
            <w:pPr>
              <w:widowControl/>
              <w:tabs>
                <w:tab w:val="center" w:pos="4538"/>
              </w:tabs>
              <w:adjustRightInd w:val="0"/>
              <w:snapToGrid w:val="0"/>
              <w:spacing w:line="360" w:lineRule="auto"/>
              <w:ind w:firstLine="482" w:firstLineChars="200"/>
              <w:jc w:val="left"/>
              <w:rPr>
                <w:rFonts w:ascii="Times New Roman" w:hAnsi="Times New Roman"/>
                <w:b/>
                <w:color w:val="000000" w:themeColor="text1"/>
                <w:sz w:val="24"/>
                <w:szCs w:val="24"/>
              </w:rPr>
            </w:pPr>
            <w:r>
              <w:rPr>
                <w:rFonts w:ascii="Times New Roman" w:hAnsi="Times New Roman"/>
                <w:b/>
                <w:color w:val="000000" w:themeColor="text1"/>
                <w:sz w:val="24"/>
                <w:szCs w:val="24"/>
              </w:rPr>
              <w:t>3</w:t>
            </w:r>
            <w:r>
              <w:rPr>
                <w:rFonts w:ascii="Times New Roman" w:hAnsi="宋体"/>
                <w:b/>
                <w:color w:val="000000" w:themeColor="text1"/>
                <w:sz w:val="24"/>
                <w:szCs w:val="24"/>
              </w:rPr>
              <w:t>、声环境质量现状</w:t>
            </w:r>
          </w:p>
          <w:p>
            <w:pPr>
              <w:adjustRightInd w:val="0"/>
              <w:snapToGrid w:val="0"/>
              <w:spacing w:line="353" w:lineRule="auto"/>
              <w:ind w:firstLine="480" w:firstLineChars="200"/>
              <w:rPr>
                <w:rFonts w:ascii="Times New Roman" w:hAnsi="Times New Roman"/>
                <w:bCs/>
                <w:color w:val="000000" w:themeColor="text1"/>
                <w:sz w:val="24"/>
                <w:szCs w:val="24"/>
              </w:rPr>
            </w:pPr>
            <w:r>
              <w:rPr>
                <w:rFonts w:ascii="Times New Roman" w:hAnsi="宋体"/>
                <w:color w:val="000000" w:themeColor="text1"/>
                <w:sz w:val="24"/>
                <w:szCs w:val="24"/>
              </w:rPr>
              <w:t>项目所在区域声环境质量现状能满足《声环境质量标准》</w:t>
            </w:r>
            <w:r>
              <w:rPr>
                <w:rFonts w:ascii="Times New Roman" w:hAnsi="Times New Roman"/>
                <w:color w:val="000000" w:themeColor="text1"/>
                <w:sz w:val="24"/>
                <w:szCs w:val="24"/>
              </w:rPr>
              <w:t>(GB3096-2008)</w:t>
            </w:r>
            <w:r>
              <w:rPr>
                <w:rFonts w:ascii="Times New Roman" w:hAnsi="宋体"/>
                <w:color w:val="000000" w:themeColor="text1"/>
                <w:sz w:val="24"/>
                <w:szCs w:val="24"/>
              </w:rPr>
              <w:t>中</w:t>
            </w:r>
            <w:r>
              <w:rPr>
                <w:rFonts w:ascii="Times New Roman" w:hAnsi="Times New Roman"/>
                <w:color w:val="000000" w:themeColor="text1"/>
                <w:sz w:val="24"/>
                <w:szCs w:val="24"/>
              </w:rPr>
              <w:t>2</w:t>
            </w:r>
            <w:r>
              <w:rPr>
                <w:rFonts w:ascii="Times New Roman" w:hAnsi="宋体"/>
                <w:color w:val="000000" w:themeColor="text1"/>
                <w:sz w:val="24"/>
                <w:szCs w:val="24"/>
              </w:rPr>
              <w:t>标准，</w:t>
            </w:r>
            <w:r>
              <w:rPr>
                <w:rFonts w:ascii="Times New Roman" w:hAnsi="宋体"/>
                <w:bCs/>
                <w:color w:val="000000" w:themeColor="text1"/>
                <w:sz w:val="24"/>
                <w:szCs w:val="24"/>
              </w:rPr>
              <w:t>区域声环境质量良好。</w:t>
            </w:r>
          </w:p>
          <w:p>
            <w:pPr>
              <w:widowControl/>
              <w:tabs>
                <w:tab w:val="center" w:pos="4538"/>
              </w:tabs>
              <w:adjustRightInd w:val="0"/>
              <w:snapToGrid w:val="0"/>
              <w:spacing w:line="360" w:lineRule="auto"/>
              <w:ind w:firstLine="482" w:firstLineChars="200"/>
              <w:jc w:val="left"/>
              <w:rPr>
                <w:rFonts w:ascii="Times New Roman" w:hAnsi="Times New Roman"/>
                <w:b/>
                <w:color w:val="000000" w:themeColor="text1"/>
                <w:sz w:val="24"/>
                <w:szCs w:val="24"/>
              </w:rPr>
            </w:pPr>
            <w:r>
              <w:rPr>
                <w:rFonts w:ascii="Times New Roman" w:hAnsi="宋体"/>
                <w:b/>
                <w:color w:val="000000" w:themeColor="text1"/>
                <w:sz w:val="24"/>
                <w:szCs w:val="24"/>
              </w:rPr>
              <w:t>三、选址符合城市总体规划结论</w:t>
            </w:r>
          </w:p>
          <w:p>
            <w:pPr>
              <w:spacing w:line="360" w:lineRule="auto"/>
              <w:ind w:firstLine="464" w:firstLineChars="200"/>
              <w:rPr>
                <w:rFonts w:ascii="Times New Roman" w:hAnsi="Times New Roman"/>
                <w:bCs/>
                <w:color w:val="000000" w:themeColor="text1"/>
                <w:spacing w:val="-4"/>
                <w:sz w:val="24"/>
                <w:szCs w:val="24"/>
              </w:rPr>
            </w:pPr>
            <w:r>
              <w:rPr>
                <w:rFonts w:ascii="Times New Roman" w:hAnsi="Times New Roman"/>
                <w:bCs/>
                <w:color w:val="000000" w:themeColor="text1"/>
                <w:spacing w:val="-4"/>
                <w:sz w:val="24"/>
                <w:szCs w:val="24"/>
              </w:rPr>
              <w:t>本项目所在区域为</w:t>
            </w:r>
            <w:r>
              <w:rPr>
                <w:rFonts w:hint="eastAsia" w:ascii="Times New Roman" w:hAnsi="Times New Roman"/>
                <w:bCs/>
                <w:color w:val="000000" w:themeColor="text1"/>
                <w:spacing w:val="-4"/>
                <w:sz w:val="24"/>
                <w:szCs w:val="24"/>
              </w:rPr>
              <w:t>汕尾市</w:t>
            </w:r>
            <w:r>
              <w:rPr>
                <w:rFonts w:ascii="Times New Roman" w:hAnsi="Times New Roman"/>
                <w:bCs/>
                <w:color w:val="000000" w:themeColor="text1"/>
                <w:spacing w:val="-4"/>
                <w:sz w:val="24"/>
                <w:szCs w:val="24"/>
              </w:rPr>
              <w:t>红海湾开发区田墘街道石新村委小马巷村后面荒山坡地</w:t>
            </w:r>
            <w:r>
              <w:rPr>
                <w:rFonts w:hint="eastAsia" w:ascii="Times New Roman" w:hAnsi="Times New Roman"/>
                <w:bCs/>
                <w:color w:val="000000" w:themeColor="text1"/>
                <w:spacing w:val="-4"/>
                <w:sz w:val="24"/>
                <w:szCs w:val="24"/>
              </w:rPr>
              <w:t>，</w:t>
            </w:r>
            <w:r>
              <w:rPr>
                <w:rFonts w:ascii="Times New Roman" w:hAnsi="Times New Roman"/>
                <w:bCs/>
                <w:color w:val="000000" w:themeColor="text1"/>
                <w:spacing w:val="-4"/>
                <w:sz w:val="24"/>
                <w:szCs w:val="24"/>
              </w:rPr>
              <w:t>与捷胜镇北门村委交界处，该项目已取得</w:t>
            </w:r>
            <w:r>
              <w:rPr>
                <w:rFonts w:hint="eastAsia" w:ascii="Times New Roman" w:hAnsi="Times New Roman"/>
                <w:bCs/>
                <w:color w:val="000000" w:themeColor="text1"/>
                <w:spacing w:val="-4"/>
                <w:sz w:val="24"/>
                <w:szCs w:val="24"/>
              </w:rPr>
              <w:t>汕尾市红海湾经济开发住建与环保规划局颁布的</w:t>
            </w:r>
            <w:r>
              <w:rPr>
                <w:rFonts w:ascii="Times New Roman" w:hAnsi="Times New Roman"/>
                <w:bCs/>
                <w:color w:val="000000" w:themeColor="text1"/>
                <w:spacing w:val="-4"/>
                <w:sz w:val="24"/>
                <w:szCs w:val="24"/>
              </w:rPr>
              <w:t>《</w:t>
            </w:r>
            <w:r>
              <w:rPr>
                <w:rFonts w:hint="eastAsia" w:ascii="Times New Roman" w:hAnsi="Times New Roman"/>
                <w:bCs/>
                <w:color w:val="000000" w:themeColor="text1"/>
                <w:spacing w:val="-4"/>
                <w:sz w:val="24"/>
                <w:szCs w:val="24"/>
              </w:rPr>
              <w:t>临时施工许可证</w:t>
            </w:r>
            <w:r>
              <w:rPr>
                <w:rFonts w:ascii="Times New Roman" w:hAnsi="Times New Roman"/>
                <w:bCs/>
                <w:color w:val="000000" w:themeColor="text1"/>
                <w:spacing w:val="-4"/>
                <w:sz w:val="24"/>
                <w:szCs w:val="24"/>
              </w:rPr>
              <w:t>》（</w:t>
            </w:r>
            <w:r>
              <w:rPr>
                <w:rFonts w:hint="eastAsia" w:ascii="Times New Roman" w:hAnsi="Times New Roman"/>
                <w:bCs/>
                <w:color w:val="000000" w:themeColor="text1"/>
                <w:spacing w:val="-4"/>
                <w:sz w:val="24"/>
                <w:szCs w:val="24"/>
              </w:rPr>
              <w:t>红建临字第2017002号</w:t>
            </w:r>
            <w:r>
              <w:rPr>
                <w:rFonts w:ascii="Times New Roman" w:hAnsi="Times New Roman"/>
                <w:bCs/>
                <w:color w:val="000000" w:themeColor="text1"/>
                <w:spacing w:val="-4"/>
                <w:sz w:val="24"/>
                <w:szCs w:val="24"/>
              </w:rPr>
              <w:t>）</w:t>
            </w:r>
            <w:r>
              <w:rPr>
                <w:rFonts w:hint="eastAsia" w:ascii="Times New Roman" w:hAnsi="Times New Roman"/>
                <w:bCs/>
                <w:color w:val="000000" w:themeColor="text1"/>
                <w:spacing w:val="-4"/>
                <w:sz w:val="24"/>
                <w:szCs w:val="24"/>
              </w:rPr>
              <w:t>，符合用地规划要求。</w:t>
            </w:r>
          </w:p>
          <w:p>
            <w:pPr>
              <w:spacing w:line="360" w:lineRule="auto"/>
              <w:ind w:firstLine="464" w:firstLineChars="200"/>
              <w:rPr>
                <w:rFonts w:ascii="Times New Roman" w:hAnsi="Times New Roman"/>
                <w:bCs/>
                <w:color w:val="000000" w:themeColor="text1"/>
                <w:spacing w:val="-4"/>
                <w:sz w:val="24"/>
                <w:szCs w:val="24"/>
              </w:rPr>
            </w:pPr>
            <w:r>
              <w:rPr>
                <w:rFonts w:ascii="Times New Roman" w:hAnsi="Times New Roman"/>
                <w:bCs/>
                <w:color w:val="000000" w:themeColor="text1"/>
                <w:spacing w:val="-4"/>
                <w:sz w:val="24"/>
                <w:szCs w:val="24"/>
              </w:rPr>
              <w:t>对照《产业结构调整指导目录（2011年本）》（2013年2月16日修正）和《广东省主体功能区产业发展指导目录（2014年）》，本项目不属于目录中的鼓励类、限制类和淘汰类项目。</w:t>
            </w:r>
            <w:r>
              <w:rPr>
                <w:rFonts w:hint="eastAsia" w:ascii="Times New Roman" w:hAnsi="Times New Roman"/>
                <w:bCs/>
                <w:color w:val="000000" w:themeColor="text1"/>
                <w:spacing w:val="-4"/>
                <w:sz w:val="24"/>
                <w:szCs w:val="24"/>
              </w:rPr>
              <w:t>综上所述，本项目建设符合国家、广东省产业政策要求。</w:t>
            </w:r>
          </w:p>
          <w:p>
            <w:pPr>
              <w:spacing w:line="360" w:lineRule="auto"/>
              <w:ind w:firstLine="464" w:firstLineChars="200"/>
              <w:rPr>
                <w:rFonts w:ascii="Times New Roman" w:hAnsi="Times New Roman"/>
                <w:bCs/>
                <w:color w:val="000000" w:themeColor="text1"/>
                <w:spacing w:val="-4"/>
                <w:sz w:val="24"/>
                <w:szCs w:val="24"/>
              </w:rPr>
            </w:pPr>
            <w:r>
              <w:rPr>
                <w:rFonts w:hint="eastAsia" w:ascii="Times New Roman" w:hAnsi="Times New Roman"/>
                <w:bCs/>
                <w:color w:val="000000" w:themeColor="text1"/>
                <w:spacing w:val="-4"/>
                <w:sz w:val="24"/>
                <w:szCs w:val="24"/>
              </w:rPr>
              <w:t>本项目所在区域为汕尾市</w:t>
            </w:r>
            <w:r>
              <w:rPr>
                <w:rFonts w:ascii="Times New Roman" w:hAnsi="Times New Roman"/>
                <w:bCs/>
                <w:color w:val="000000" w:themeColor="text1"/>
                <w:spacing w:val="-4"/>
                <w:sz w:val="24"/>
                <w:szCs w:val="24"/>
              </w:rPr>
              <w:t>红海湾开发区田墘街道石新村委小马巷村后面荒山坡地</w:t>
            </w:r>
            <w:r>
              <w:rPr>
                <w:rFonts w:hint="eastAsia" w:ascii="Times New Roman" w:hAnsi="Times New Roman"/>
                <w:bCs/>
                <w:color w:val="000000" w:themeColor="text1"/>
                <w:spacing w:val="-4"/>
                <w:sz w:val="24"/>
                <w:szCs w:val="24"/>
              </w:rPr>
              <w:t>，</w:t>
            </w:r>
            <w:r>
              <w:rPr>
                <w:rFonts w:ascii="Times New Roman" w:hAnsi="Times New Roman"/>
                <w:bCs/>
                <w:color w:val="000000" w:themeColor="text1"/>
                <w:spacing w:val="-4"/>
                <w:sz w:val="24"/>
                <w:szCs w:val="24"/>
              </w:rPr>
              <w:t>与捷胜镇北门村委交界处</w:t>
            </w:r>
            <w:r>
              <w:rPr>
                <w:rFonts w:hint="eastAsia" w:ascii="Times New Roman" w:hAnsi="Times New Roman"/>
                <w:bCs/>
                <w:color w:val="000000" w:themeColor="text1"/>
                <w:spacing w:val="-4"/>
                <w:sz w:val="24"/>
                <w:szCs w:val="24"/>
              </w:rPr>
              <w:t>，依据《汕尾市城市总体规划》（2011-2020）的规划，项目所在区域属于环境空气质量功能区中的二类区。项目所在区域声环境功能为2类功能区。本项目生活污水经污水处理装置处理达标后排入附近水域，项目附近水体为品清湖盐业、旅游、鱼港功能区第二类功能区，执行《海洋水质标准》（GB3097-1997）中第二类海水水质标准。</w:t>
            </w:r>
          </w:p>
          <w:p>
            <w:pPr>
              <w:spacing w:line="360" w:lineRule="auto"/>
              <w:ind w:firstLine="464" w:firstLineChars="200"/>
              <w:rPr>
                <w:rFonts w:ascii="Times New Roman" w:hAnsi="Times New Roman"/>
                <w:bCs/>
                <w:color w:val="000000" w:themeColor="text1"/>
                <w:spacing w:val="-4"/>
                <w:sz w:val="24"/>
                <w:szCs w:val="24"/>
              </w:rPr>
            </w:pPr>
            <w:r>
              <w:rPr>
                <w:rFonts w:hint="eastAsia" w:ascii="Times New Roman" w:hAnsi="Times New Roman"/>
                <w:bCs/>
                <w:color w:val="000000" w:themeColor="text1"/>
                <w:spacing w:val="-4"/>
                <w:sz w:val="24"/>
                <w:szCs w:val="24"/>
              </w:rPr>
              <w:t>综上所述，本项目的建设符合环境功能区划的要求。</w:t>
            </w:r>
          </w:p>
          <w:p>
            <w:pPr>
              <w:adjustRightInd w:val="0"/>
              <w:snapToGrid w:val="0"/>
              <w:spacing w:line="360" w:lineRule="auto"/>
              <w:ind w:firstLine="482" w:firstLineChars="200"/>
              <w:rPr>
                <w:rFonts w:ascii="Times New Roman" w:hAnsi="Times New Roman"/>
                <w:b/>
                <w:color w:val="000000" w:themeColor="text1"/>
                <w:sz w:val="24"/>
              </w:rPr>
            </w:pPr>
            <w:r>
              <w:rPr>
                <w:rFonts w:ascii="Times New Roman" w:hAnsi="宋体"/>
                <w:b/>
                <w:color w:val="000000" w:themeColor="text1"/>
                <w:sz w:val="24"/>
              </w:rPr>
              <w:t>四、环境影响评价结论</w:t>
            </w:r>
          </w:p>
          <w:p>
            <w:pPr>
              <w:adjustRightInd w:val="0"/>
              <w:snapToGrid w:val="0"/>
              <w:spacing w:line="360" w:lineRule="auto"/>
              <w:ind w:firstLine="482" w:firstLineChars="200"/>
              <w:rPr>
                <w:rFonts w:ascii="Times New Roman" w:hAnsi="Times New Roman"/>
                <w:b/>
                <w:color w:val="000000" w:themeColor="text1"/>
                <w:sz w:val="24"/>
              </w:rPr>
            </w:pPr>
            <w:r>
              <w:rPr>
                <w:rFonts w:ascii="Times New Roman" w:hAnsi="Times New Roman"/>
                <w:b/>
                <w:color w:val="000000" w:themeColor="text1"/>
                <w:sz w:val="24"/>
              </w:rPr>
              <w:t>1</w:t>
            </w:r>
            <w:r>
              <w:rPr>
                <w:rFonts w:ascii="Times New Roman" w:hAnsi="宋体"/>
                <w:b/>
                <w:color w:val="000000" w:themeColor="text1"/>
                <w:sz w:val="24"/>
              </w:rPr>
              <w:t>、施工期环境影响评价结论</w:t>
            </w:r>
          </w:p>
          <w:p>
            <w:pPr>
              <w:snapToGrid w:val="0"/>
              <w:spacing w:line="360" w:lineRule="auto"/>
              <w:ind w:firstLine="482" w:firstLineChars="200"/>
              <w:rPr>
                <w:rFonts w:ascii="Times New Roman" w:hAnsi="Times New Roman"/>
                <w:b/>
                <w:color w:val="000000" w:themeColor="text1"/>
                <w:sz w:val="24"/>
              </w:rPr>
            </w:pPr>
            <w:r>
              <w:rPr>
                <w:rFonts w:ascii="Times New Roman" w:hAnsi="宋体"/>
                <w:b/>
                <w:color w:val="000000" w:themeColor="text1"/>
                <w:sz w:val="24"/>
              </w:rPr>
              <w:t>（</w:t>
            </w:r>
            <w:r>
              <w:rPr>
                <w:rFonts w:ascii="Times New Roman" w:hAnsi="Times New Roman"/>
                <w:b/>
                <w:color w:val="000000" w:themeColor="text1"/>
                <w:sz w:val="24"/>
              </w:rPr>
              <w:t>1</w:t>
            </w:r>
            <w:r>
              <w:rPr>
                <w:rFonts w:ascii="Times New Roman" w:hAnsi="宋体"/>
                <w:b/>
                <w:color w:val="000000" w:themeColor="text1"/>
                <w:sz w:val="24"/>
              </w:rPr>
              <w:t>）水环境影响评价结论</w:t>
            </w:r>
          </w:p>
          <w:p>
            <w:pPr>
              <w:pStyle w:val="6"/>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项目施工期间产生的污水主要包括施工人员的生活污水、建筑施工</w:t>
            </w:r>
            <w:r>
              <w:rPr>
                <w:rFonts w:hint="eastAsia" w:ascii="Times New Roman" w:hAnsi="Times New Roman"/>
                <w:color w:val="000000" w:themeColor="text1"/>
                <w:sz w:val="24"/>
                <w:szCs w:val="24"/>
              </w:rPr>
              <w:t>废</w:t>
            </w:r>
            <w:r>
              <w:rPr>
                <w:rFonts w:ascii="Times New Roman" w:hAnsi="Times New Roman"/>
                <w:color w:val="000000" w:themeColor="text1"/>
                <w:sz w:val="24"/>
                <w:szCs w:val="24"/>
              </w:rPr>
              <w:t>水。</w:t>
            </w:r>
          </w:p>
          <w:p>
            <w:pPr>
              <w:pStyle w:val="6"/>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施工高峰期施工人员</w:t>
            </w:r>
            <w:r>
              <w:rPr>
                <w:rFonts w:hint="eastAsia" w:ascii="Times New Roman" w:hAnsi="Times New Roman"/>
                <w:color w:val="000000" w:themeColor="text1"/>
                <w:sz w:val="24"/>
                <w:szCs w:val="24"/>
              </w:rPr>
              <w:t>均为附近居民，不在项目地吃住，基本无生活废水产生。少量的粪污水由项目经简易旱厕收集后用于周围林地施肥。</w:t>
            </w:r>
          </w:p>
          <w:p>
            <w:pPr>
              <w:pStyle w:val="6"/>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施工</w:t>
            </w:r>
            <w:r>
              <w:rPr>
                <w:rFonts w:hint="eastAsia" w:ascii="Times New Roman" w:hAnsi="Times New Roman"/>
                <w:color w:val="000000" w:themeColor="text1"/>
                <w:sz w:val="24"/>
                <w:szCs w:val="24"/>
              </w:rPr>
              <w:t>废</w:t>
            </w:r>
            <w:r>
              <w:rPr>
                <w:rFonts w:ascii="Times New Roman" w:hAnsi="Times New Roman"/>
                <w:color w:val="000000" w:themeColor="text1"/>
                <w:sz w:val="24"/>
                <w:szCs w:val="24"/>
              </w:rPr>
              <w:t>水</w:t>
            </w:r>
            <w:r>
              <w:rPr>
                <w:rFonts w:hint="eastAsia" w:ascii="Times New Roman" w:hAnsi="Times New Roman"/>
                <w:color w:val="000000" w:themeColor="text1"/>
                <w:sz w:val="24"/>
                <w:szCs w:val="24"/>
              </w:rPr>
              <w:t>主要</w:t>
            </w:r>
            <w:r>
              <w:rPr>
                <w:rFonts w:ascii="Times New Roman" w:hAnsi="Times New Roman"/>
                <w:color w:val="000000" w:themeColor="text1"/>
                <w:sz w:val="24"/>
                <w:szCs w:val="24"/>
              </w:rPr>
              <w:t>包括施工机械洗涤用水、施工现场清洗、建筑清洗、冲洗等，</w:t>
            </w:r>
            <w:r>
              <w:rPr>
                <w:rFonts w:hint="eastAsia" w:ascii="Times New Roman" w:hAnsi="Times New Roman"/>
                <w:color w:val="000000" w:themeColor="text1"/>
                <w:sz w:val="24"/>
                <w:szCs w:val="24"/>
              </w:rPr>
              <w:t>其</w:t>
            </w:r>
            <w:r>
              <w:rPr>
                <w:rFonts w:ascii="Times New Roman" w:hAnsi="Times New Roman"/>
                <w:color w:val="000000" w:themeColor="text1"/>
                <w:sz w:val="24"/>
                <w:szCs w:val="24"/>
              </w:rPr>
              <w:t>污染物主要为悬浮物和石油类</w:t>
            </w:r>
            <w:r>
              <w:rPr>
                <w:rFonts w:hint="eastAsia" w:ascii="Times New Roman" w:hAnsi="Times New Roman"/>
                <w:color w:val="000000" w:themeColor="text1"/>
                <w:sz w:val="24"/>
                <w:szCs w:val="24"/>
              </w:rPr>
              <w:t>，</w:t>
            </w:r>
            <w:r>
              <w:rPr>
                <w:rFonts w:ascii="Times New Roman" w:hAnsi="Times New Roman"/>
                <w:color w:val="000000" w:themeColor="text1"/>
                <w:sz w:val="24"/>
                <w:szCs w:val="24"/>
              </w:rPr>
              <w:t>施工现场应建造临时沉淀池和隔油设施等临时性水处理构筑物，对施工废水进行相应的沉淀和隔油处理后，</w:t>
            </w:r>
            <w:r>
              <w:rPr>
                <w:rFonts w:hint="eastAsia" w:ascii="Times New Roman" w:hAnsi="Times New Roman"/>
                <w:color w:val="000000" w:themeColor="text1"/>
                <w:sz w:val="24"/>
                <w:szCs w:val="24"/>
              </w:rPr>
              <w:t>上清液回用，不外排，沉渣收集后外运处置。本项目施工期废水对地表水体的影响较小。</w:t>
            </w:r>
          </w:p>
          <w:p>
            <w:pPr>
              <w:adjustRightInd w:val="0"/>
              <w:snapToGrid w:val="0"/>
              <w:spacing w:line="360" w:lineRule="auto"/>
              <w:ind w:firstLine="482" w:firstLineChars="200"/>
              <w:rPr>
                <w:rFonts w:ascii="Times New Roman" w:hAnsi="Times New Roman"/>
                <w:b/>
                <w:color w:val="000000" w:themeColor="text1"/>
                <w:sz w:val="24"/>
                <w:szCs w:val="24"/>
              </w:rPr>
            </w:pPr>
            <w:r>
              <w:rPr>
                <w:rFonts w:ascii="Times New Roman" w:hAnsi="宋体"/>
                <w:b/>
                <w:color w:val="000000" w:themeColor="text1"/>
                <w:sz w:val="24"/>
                <w:szCs w:val="24"/>
              </w:rPr>
              <w:t>（</w:t>
            </w:r>
            <w:r>
              <w:rPr>
                <w:rFonts w:ascii="Times New Roman" w:hAnsi="Times New Roman"/>
                <w:b/>
                <w:color w:val="000000" w:themeColor="text1"/>
                <w:sz w:val="24"/>
                <w:szCs w:val="24"/>
              </w:rPr>
              <w:t>2</w:t>
            </w:r>
            <w:r>
              <w:rPr>
                <w:rFonts w:ascii="Times New Roman" w:hAnsi="宋体"/>
                <w:b/>
                <w:color w:val="000000" w:themeColor="text1"/>
                <w:sz w:val="24"/>
                <w:szCs w:val="24"/>
              </w:rPr>
              <w:t>）大气环境影响评价结论</w:t>
            </w:r>
          </w:p>
          <w:p>
            <w:pPr>
              <w:adjustRightInd w:val="0"/>
              <w:snapToGrid w:val="0"/>
              <w:spacing w:line="360" w:lineRule="auto"/>
              <w:ind w:firstLine="480" w:firstLineChars="200"/>
              <w:rPr>
                <w:rFonts w:ascii="Times New Roman" w:hAnsi="宋体"/>
                <w:color w:val="000000" w:themeColor="text1"/>
                <w:sz w:val="24"/>
                <w:szCs w:val="24"/>
              </w:rPr>
            </w:pPr>
            <w:r>
              <w:rPr>
                <w:rFonts w:hint="eastAsia" w:ascii="Times New Roman" w:hAnsi="宋体"/>
                <w:color w:val="000000" w:themeColor="text1"/>
                <w:sz w:val="24"/>
                <w:szCs w:val="24"/>
              </w:rPr>
              <w:t>本项目施工期废气来源主要是施工机械的燃油废气、工程开挖与车辆运输的扬尘。</w:t>
            </w:r>
            <w:r>
              <w:rPr>
                <w:rFonts w:ascii="Times New Roman" w:hAnsi="宋体"/>
                <w:color w:val="000000" w:themeColor="text1"/>
                <w:sz w:val="24"/>
                <w:szCs w:val="24"/>
              </w:rPr>
              <w:t>施工机械应首先选用先进环保的，施工车辆应达到相关的汽车废气排放校准，燃油选用含硫量低的0#优质轻柴油，并加装主动再生式柴油颗粒捕集器。</w:t>
            </w:r>
            <w:r>
              <w:rPr>
                <w:rFonts w:hint="eastAsia" w:ascii="Times New Roman" w:hAnsi="宋体"/>
                <w:color w:val="000000" w:themeColor="text1"/>
                <w:sz w:val="24"/>
                <w:szCs w:val="24"/>
              </w:rPr>
              <w:t>项目施工时应合理安排施工，并考虑每天定期洒水降尘措施，所有来往施工场地的多尘材料均用棚布遮盖，加强扬尘的有效治理，减少扬尘对周围敏感点的影响，本项目施工期废气对周围环境大气影响较小。</w:t>
            </w:r>
          </w:p>
          <w:p>
            <w:pPr>
              <w:adjustRightInd w:val="0"/>
              <w:snapToGrid w:val="0"/>
              <w:spacing w:line="360" w:lineRule="auto"/>
              <w:ind w:firstLine="482" w:firstLineChars="200"/>
              <w:rPr>
                <w:rFonts w:ascii="Times New Roman" w:hAnsi="Times New Roman"/>
                <w:b/>
                <w:bCs/>
                <w:color w:val="000000" w:themeColor="text1"/>
                <w:sz w:val="24"/>
                <w:szCs w:val="24"/>
              </w:rPr>
            </w:pPr>
            <w:r>
              <w:rPr>
                <w:rFonts w:ascii="Times New Roman" w:hAnsi="宋体"/>
                <w:b/>
                <w:bCs/>
                <w:color w:val="000000" w:themeColor="text1"/>
                <w:sz w:val="24"/>
                <w:szCs w:val="24"/>
              </w:rPr>
              <w:t>（</w:t>
            </w:r>
            <w:r>
              <w:rPr>
                <w:rFonts w:ascii="Times New Roman" w:hAnsi="Times New Roman"/>
                <w:b/>
                <w:bCs/>
                <w:color w:val="000000" w:themeColor="text1"/>
                <w:sz w:val="24"/>
                <w:szCs w:val="24"/>
              </w:rPr>
              <w:t>3</w:t>
            </w:r>
            <w:r>
              <w:rPr>
                <w:rFonts w:ascii="Times New Roman" w:hAnsi="宋体"/>
                <w:b/>
                <w:bCs/>
                <w:color w:val="000000" w:themeColor="text1"/>
                <w:sz w:val="24"/>
                <w:szCs w:val="24"/>
              </w:rPr>
              <w:t>）声环境影响评价结论：</w:t>
            </w:r>
          </w:p>
          <w:p>
            <w:pPr>
              <w:adjustRightInd w:val="0"/>
              <w:snapToGrid w:val="0"/>
              <w:spacing w:line="360" w:lineRule="auto"/>
              <w:ind w:firstLine="480" w:firstLineChars="200"/>
              <w:rPr>
                <w:rFonts w:ascii="Times New Roman" w:hAnsi="宋体"/>
                <w:color w:val="000000" w:themeColor="text1"/>
                <w:sz w:val="24"/>
              </w:rPr>
            </w:pPr>
            <w:r>
              <w:rPr>
                <w:rFonts w:hint="eastAsia" w:ascii="Times New Roman" w:hAnsi="宋体"/>
                <w:color w:val="000000" w:themeColor="text1"/>
                <w:sz w:val="24"/>
              </w:rPr>
              <w:t>施工期的噪声主要可分为机械噪声、施工作业噪声和施工车辆噪声。为了将项目建设的噪声对周围环境的影响降低到最低，建议建设单位采取如下措施：合理安排施工时间，尽量缩短施工期，尽量避免多台噪声设备同一地点同时使用；采用先进、低噪声设备，并加强管理和维护；混凝土搅拌作业采用外购，未采用高噪声搅拌设施现场进行混凝土搅拌作业；对施工期运输车辆产生的交通噪声，搞好施工管理，减小对周边声环境产生的影响，对运输车辆限速，禁止车辆高速行驶和禁鸣喇叭。同时选择性能良好、噪声低的运输车辆，并在使用过程中加强维护工作，从源头上减小噪声；</w:t>
            </w:r>
          </w:p>
          <w:p>
            <w:pPr>
              <w:adjustRightInd w:val="0"/>
              <w:snapToGrid w:val="0"/>
              <w:spacing w:line="360" w:lineRule="auto"/>
              <w:ind w:firstLine="480" w:firstLineChars="200"/>
              <w:rPr>
                <w:rFonts w:ascii="Times New Roman" w:hAnsi="Times New Roman"/>
                <w:color w:val="000000" w:themeColor="text1"/>
                <w:sz w:val="24"/>
              </w:rPr>
            </w:pPr>
            <w:r>
              <w:rPr>
                <w:rFonts w:ascii="Times New Roman" w:hAnsi="宋体"/>
                <w:color w:val="000000" w:themeColor="text1"/>
                <w:sz w:val="24"/>
              </w:rPr>
              <w:t>经采取上述措施后，项目施工期噪声可达到《</w:t>
            </w:r>
            <w:r>
              <w:rPr>
                <w:rFonts w:ascii="Times New Roman" w:hAnsi="宋体"/>
                <w:bCs/>
                <w:color w:val="000000" w:themeColor="text1"/>
                <w:sz w:val="24"/>
              </w:rPr>
              <w:t>建筑施工场界环境噪声排放标准</w:t>
            </w:r>
            <w:r>
              <w:rPr>
                <w:rFonts w:ascii="Times New Roman" w:hAnsi="宋体"/>
                <w:color w:val="000000" w:themeColor="text1"/>
                <w:sz w:val="24"/>
              </w:rPr>
              <w:t>》</w:t>
            </w:r>
            <w:r>
              <w:rPr>
                <w:rFonts w:ascii="Times New Roman" w:hAnsi="Times New Roman"/>
                <w:color w:val="000000" w:themeColor="text1"/>
                <w:sz w:val="24"/>
              </w:rPr>
              <w:t>(GB12523-2011)</w:t>
            </w:r>
            <w:r>
              <w:rPr>
                <w:rFonts w:ascii="Times New Roman" w:hAnsi="宋体"/>
                <w:color w:val="000000" w:themeColor="text1"/>
                <w:sz w:val="24"/>
              </w:rPr>
              <w:t>相应标准要求。</w:t>
            </w:r>
          </w:p>
          <w:p>
            <w:pPr>
              <w:pStyle w:val="11"/>
              <w:ind w:firstLine="482" w:firstLineChars="200"/>
              <w:rPr>
                <w:rFonts w:ascii="Times New Roman" w:hAnsi="Times New Roman"/>
                <w:b/>
                <w:bCs/>
                <w:color w:val="000000" w:themeColor="text1"/>
                <w:sz w:val="24"/>
                <w:szCs w:val="24"/>
              </w:rPr>
            </w:pPr>
            <w:r>
              <w:rPr>
                <w:rFonts w:ascii="Times New Roman" w:hAnsi="宋体"/>
                <w:b/>
                <w:bCs/>
                <w:color w:val="000000" w:themeColor="text1"/>
                <w:sz w:val="24"/>
                <w:szCs w:val="24"/>
              </w:rPr>
              <w:t>（</w:t>
            </w:r>
            <w:r>
              <w:rPr>
                <w:rFonts w:ascii="Times New Roman" w:hAnsi="Times New Roman"/>
                <w:b/>
                <w:bCs/>
                <w:color w:val="000000" w:themeColor="text1"/>
                <w:sz w:val="24"/>
                <w:szCs w:val="24"/>
              </w:rPr>
              <w:t>4</w:t>
            </w:r>
            <w:r>
              <w:rPr>
                <w:rFonts w:ascii="Times New Roman" w:hAnsi="宋体"/>
                <w:b/>
                <w:bCs/>
                <w:color w:val="000000" w:themeColor="text1"/>
                <w:sz w:val="24"/>
                <w:szCs w:val="24"/>
              </w:rPr>
              <w:t>）固体废物影响评价结论：</w:t>
            </w:r>
          </w:p>
          <w:p>
            <w:pPr>
              <w:pStyle w:val="6"/>
              <w:spacing w:line="360" w:lineRule="auto"/>
              <w:ind w:firstLine="480" w:firstLineChars="200"/>
              <w:rPr>
                <w:rFonts w:ascii="Times New Roman" w:hAnsi="宋体"/>
                <w:color w:val="000000" w:themeColor="text1"/>
                <w:sz w:val="24"/>
                <w:szCs w:val="24"/>
              </w:rPr>
            </w:pPr>
            <w:r>
              <w:rPr>
                <w:rFonts w:hint="eastAsia" w:ascii="Times New Roman" w:hAnsi="宋体"/>
                <w:color w:val="000000" w:themeColor="text1"/>
                <w:sz w:val="24"/>
                <w:szCs w:val="24"/>
              </w:rPr>
              <w:t>施工期间的固废物主要为土石方、建筑垃圾和施工人员的生活垃圾。</w:t>
            </w:r>
          </w:p>
          <w:p>
            <w:pPr>
              <w:pStyle w:val="6"/>
              <w:spacing w:line="360" w:lineRule="auto"/>
              <w:ind w:firstLine="480" w:firstLineChars="200"/>
              <w:rPr>
                <w:rFonts w:ascii="Times New Roman" w:hAnsi="宋体"/>
                <w:color w:val="000000" w:themeColor="text1"/>
                <w:sz w:val="24"/>
                <w:szCs w:val="24"/>
              </w:rPr>
            </w:pPr>
            <w:r>
              <w:rPr>
                <w:rFonts w:hint="eastAsia" w:ascii="Times New Roman" w:hAnsi="宋体"/>
                <w:color w:val="000000" w:themeColor="text1"/>
                <w:sz w:val="24"/>
                <w:szCs w:val="24"/>
              </w:rPr>
              <w:t>项目拟建地地势较平整，开挖量较小，土石方可做到就地平衡，无外运渣土情况。建筑垃圾</w:t>
            </w:r>
            <w:r>
              <w:rPr>
                <w:rFonts w:ascii="Times New Roman" w:hAnsi="宋体"/>
                <w:color w:val="000000" w:themeColor="text1"/>
                <w:sz w:val="24"/>
                <w:szCs w:val="24"/>
              </w:rPr>
              <w:t>集中堆放，统一清运，尽量回收利用</w:t>
            </w:r>
            <w:r>
              <w:rPr>
                <w:rFonts w:hint="eastAsia" w:ascii="Times New Roman" w:hAnsi="宋体"/>
                <w:color w:val="000000" w:themeColor="text1"/>
                <w:sz w:val="24"/>
                <w:szCs w:val="24"/>
              </w:rPr>
              <w:t>。</w:t>
            </w:r>
            <w:r>
              <w:rPr>
                <w:rFonts w:hint="eastAsia" w:ascii="Times New Roman" w:hAnsi="宋体"/>
                <w:bCs/>
                <w:color w:val="000000" w:themeColor="text1"/>
                <w:sz w:val="24"/>
                <w:szCs w:val="24"/>
              </w:rPr>
              <w:t>生活垃圾</w:t>
            </w:r>
            <w:r>
              <w:rPr>
                <w:rFonts w:hint="eastAsia" w:ascii="Times New Roman" w:hAnsi="宋体"/>
                <w:color w:val="000000" w:themeColor="text1"/>
                <w:sz w:val="24"/>
                <w:szCs w:val="24"/>
              </w:rPr>
              <w:t>收集后交由环卫部门处理，日产日清。</w:t>
            </w:r>
          </w:p>
          <w:p>
            <w:pPr>
              <w:adjustRightInd w:val="0"/>
              <w:snapToGrid w:val="0"/>
              <w:spacing w:line="360" w:lineRule="auto"/>
              <w:ind w:firstLine="482" w:firstLineChars="200"/>
              <w:rPr>
                <w:rFonts w:ascii="Times New Roman" w:hAnsi="Times New Roman"/>
                <w:b/>
                <w:color w:val="000000" w:themeColor="text1"/>
                <w:sz w:val="24"/>
              </w:rPr>
            </w:pPr>
            <w:r>
              <w:rPr>
                <w:rFonts w:ascii="Times New Roman" w:hAnsi="宋体"/>
                <w:b/>
                <w:color w:val="000000" w:themeColor="text1"/>
                <w:sz w:val="24"/>
              </w:rPr>
              <w:t>施工期对环境将带来定的影响，主要为扬尘、施工机械噪声，在切实实施了本评价提出的施工期间的环保措施的前提下，项目施工期间对环境的影响可以接受。施工期的污染是短暂的，随着施工期的结束，这些环境影响因素也随即消失。</w:t>
            </w:r>
          </w:p>
          <w:p>
            <w:pPr>
              <w:adjustRightInd w:val="0"/>
              <w:snapToGrid w:val="0"/>
              <w:spacing w:line="360" w:lineRule="auto"/>
              <w:ind w:firstLine="482" w:firstLineChars="200"/>
              <w:rPr>
                <w:rFonts w:ascii="Times New Roman" w:hAnsi="Times New Roman"/>
                <w:b/>
                <w:color w:val="000000" w:themeColor="text1"/>
                <w:sz w:val="24"/>
              </w:rPr>
            </w:pPr>
            <w:r>
              <w:rPr>
                <w:rFonts w:ascii="Times New Roman" w:hAnsi="Times New Roman"/>
                <w:b/>
                <w:color w:val="000000" w:themeColor="text1"/>
                <w:sz w:val="24"/>
              </w:rPr>
              <w:t>2</w:t>
            </w:r>
            <w:r>
              <w:rPr>
                <w:rFonts w:ascii="Times New Roman" w:hAnsi="宋体"/>
                <w:b/>
                <w:color w:val="000000" w:themeColor="text1"/>
                <w:sz w:val="24"/>
              </w:rPr>
              <w:t>、运营期环境影响评价结论</w:t>
            </w:r>
          </w:p>
          <w:p>
            <w:pPr>
              <w:snapToGrid w:val="0"/>
              <w:spacing w:line="360" w:lineRule="auto"/>
              <w:ind w:firstLine="482" w:firstLineChars="200"/>
              <w:rPr>
                <w:rFonts w:ascii="Times New Roman" w:hAnsi="Times New Roman"/>
                <w:b/>
                <w:color w:val="000000" w:themeColor="text1"/>
                <w:sz w:val="24"/>
              </w:rPr>
            </w:pPr>
            <w:r>
              <w:rPr>
                <w:rFonts w:ascii="Times New Roman" w:hAnsi="宋体"/>
                <w:b/>
                <w:color w:val="000000" w:themeColor="text1"/>
                <w:sz w:val="24"/>
              </w:rPr>
              <w:t>（</w:t>
            </w:r>
            <w:r>
              <w:rPr>
                <w:rFonts w:ascii="Times New Roman" w:hAnsi="Times New Roman"/>
                <w:b/>
                <w:color w:val="000000" w:themeColor="text1"/>
                <w:sz w:val="24"/>
              </w:rPr>
              <w:t>1</w:t>
            </w:r>
            <w:r>
              <w:rPr>
                <w:rFonts w:ascii="Times New Roman" w:hAnsi="宋体"/>
                <w:b/>
                <w:color w:val="000000" w:themeColor="text1"/>
                <w:sz w:val="24"/>
              </w:rPr>
              <w:t>）水环境影响评价结论</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项目清洗搅拌机、运输车等设备及冲洗地面产生一定量的清洗废水。根据厂家介绍及</w:t>
            </w:r>
            <w:r>
              <w:rPr>
                <w:rFonts w:hint="eastAsia" w:ascii="Times New Roman" w:hAnsi="Times New Roman"/>
                <w:color w:val="000000" w:themeColor="text1"/>
                <w:sz w:val="24"/>
                <w:szCs w:val="24"/>
              </w:rPr>
              <w:t>类比调查</w:t>
            </w:r>
            <w:r>
              <w:rPr>
                <w:rFonts w:ascii="Times New Roman" w:hAnsi="Times New Roman"/>
                <w:color w:val="000000" w:themeColor="text1"/>
                <w:sz w:val="24"/>
                <w:szCs w:val="24"/>
              </w:rPr>
              <w:t>，项目清洗废水产生量为20吨/日，项目混凝土搅拌机清洗废水</w:t>
            </w:r>
            <w:r>
              <w:rPr>
                <w:rFonts w:hint="eastAsia" w:ascii="Times New Roman" w:hAnsi="Times New Roman"/>
                <w:color w:val="000000" w:themeColor="text1"/>
                <w:sz w:val="24"/>
                <w:szCs w:val="24"/>
              </w:rPr>
              <w:t>、</w:t>
            </w:r>
            <w:r>
              <w:rPr>
                <w:rFonts w:ascii="Times New Roman" w:hAnsi="Times New Roman"/>
                <w:color w:val="000000" w:themeColor="text1"/>
                <w:sz w:val="24"/>
                <w:szCs w:val="24"/>
              </w:rPr>
              <w:t>地面冲洗废水、车辆清洗废水经三级沉淀池</w:t>
            </w:r>
            <w:r>
              <w:rPr>
                <w:rFonts w:hint="eastAsia" w:ascii="Times New Roman" w:hAnsi="Times New Roman"/>
                <w:color w:val="000000" w:themeColor="text1"/>
                <w:sz w:val="24"/>
                <w:szCs w:val="24"/>
              </w:rPr>
              <w:t>+清水池</w:t>
            </w:r>
            <w:r>
              <w:rPr>
                <w:rFonts w:ascii="Times New Roman" w:hAnsi="Times New Roman"/>
                <w:color w:val="000000" w:themeColor="text1"/>
                <w:sz w:val="24"/>
                <w:szCs w:val="24"/>
              </w:rPr>
              <w:t>处理后全部回用，不外排。</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项目产生的生活污水经</w:t>
            </w:r>
            <w:r>
              <w:rPr>
                <w:rFonts w:hint="eastAsia" w:ascii="Times New Roman" w:hAnsi="Times New Roman"/>
                <w:color w:val="000000" w:themeColor="text1"/>
                <w:sz w:val="24"/>
                <w:szCs w:val="24"/>
              </w:rPr>
              <w:t>自建</w:t>
            </w:r>
            <w:r>
              <w:rPr>
                <w:rFonts w:ascii="Times New Roman" w:hAnsi="Times New Roman"/>
                <w:color w:val="000000" w:themeColor="text1"/>
                <w:sz w:val="24"/>
                <w:szCs w:val="24"/>
              </w:rPr>
              <w:t>化粪池</w:t>
            </w:r>
            <w:r>
              <w:rPr>
                <w:rFonts w:hint="eastAsia" w:ascii="Times New Roman" w:hAnsi="Times New Roman"/>
                <w:color w:val="000000" w:themeColor="text1"/>
                <w:sz w:val="24"/>
                <w:szCs w:val="24"/>
              </w:rPr>
              <w:t>及生活污水处理装置处理达到《农田灌溉水质标准》（GB5084-2005）中相应标准</w:t>
            </w:r>
            <w:r>
              <w:rPr>
                <w:rFonts w:ascii="Times New Roman" w:hAnsi="Times New Roman"/>
                <w:color w:val="000000" w:themeColor="text1"/>
                <w:sz w:val="24"/>
                <w:szCs w:val="24"/>
              </w:rPr>
              <w:t>后，</w:t>
            </w:r>
            <w:r>
              <w:rPr>
                <w:rFonts w:hint="eastAsia" w:ascii="Times New Roman" w:hAnsi="Times New Roman"/>
                <w:color w:val="000000" w:themeColor="text1"/>
                <w:sz w:val="24"/>
                <w:szCs w:val="24"/>
              </w:rPr>
              <w:t>用附近农田及牧草种植基地灌溉用水，实现废水零排放。</w:t>
            </w:r>
          </w:p>
          <w:p>
            <w:pPr>
              <w:spacing w:line="360" w:lineRule="auto"/>
              <w:ind w:firstLine="482" w:firstLineChars="200"/>
              <w:rPr>
                <w:rFonts w:ascii="Times New Roman" w:hAnsi="Times New Roman"/>
                <w:b/>
                <w:color w:val="000000" w:themeColor="text1"/>
                <w:sz w:val="24"/>
                <w:szCs w:val="24"/>
              </w:rPr>
            </w:pPr>
            <w:r>
              <w:rPr>
                <w:rFonts w:ascii="Times New Roman" w:hAnsi="宋体"/>
                <w:b/>
                <w:color w:val="000000" w:themeColor="text1"/>
                <w:sz w:val="24"/>
                <w:szCs w:val="24"/>
              </w:rPr>
              <w:t>（</w:t>
            </w:r>
            <w:r>
              <w:rPr>
                <w:rFonts w:ascii="Times New Roman" w:hAnsi="Times New Roman"/>
                <w:b/>
                <w:color w:val="000000" w:themeColor="text1"/>
                <w:sz w:val="24"/>
                <w:szCs w:val="24"/>
              </w:rPr>
              <w:t>2</w:t>
            </w:r>
            <w:r>
              <w:rPr>
                <w:rFonts w:ascii="Times New Roman" w:hAnsi="宋体"/>
                <w:b/>
                <w:color w:val="000000" w:themeColor="text1"/>
                <w:sz w:val="24"/>
                <w:szCs w:val="24"/>
              </w:rPr>
              <w:t>）大气环境影响评价结论</w:t>
            </w:r>
          </w:p>
          <w:p>
            <w:pPr>
              <w:adjustRightInd w:val="0"/>
              <w:spacing w:line="360" w:lineRule="auto"/>
              <w:ind w:firstLine="480" w:firstLineChars="200"/>
              <w:textAlignment w:val="baseline"/>
              <w:rPr>
                <w:rFonts w:ascii="Times New Roman" w:hAnsi="Times New Roman"/>
                <w:color w:val="000000" w:themeColor="text1"/>
                <w:kern w:val="0"/>
                <w:sz w:val="24"/>
              </w:rPr>
            </w:pPr>
            <w:r>
              <w:rPr>
                <w:rFonts w:ascii="Times New Roman" w:hAnsi="宋体"/>
                <w:color w:val="000000" w:themeColor="text1"/>
                <w:kern w:val="0"/>
                <w:sz w:val="24"/>
                <w:szCs w:val="24"/>
              </w:rPr>
              <w:t>粉尘</w:t>
            </w:r>
            <w:r>
              <w:rPr>
                <w:rFonts w:ascii="Times New Roman" w:hAnsi="Times New Roman"/>
                <w:color w:val="000000" w:themeColor="text1"/>
                <w:kern w:val="0"/>
                <w:sz w:val="24"/>
              </w:rPr>
              <w:t>：</w:t>
            </w:r>
            <w:r>
              <w:rPr>
                <w:rFonts w:hint="eastAsia" w:ascii="Times New Roman" w:hAnsi="Times New Roman"/>
                <w:color w:val="000000" w:themeColor="text1"/>
                <w:kern w:val="0"/>
                <w:sz w:val="24"/>
                <w:szCs w:val="24"/>
              </w:rPr>
              <w:t>建议在</w:t>
            </w:r>
            <w:r>
              <w:rPr>
                <w:rFonts w:ascii="Times New Roman" w:hAnsi="Times New Roman"/>
                <w:color w:val="000000" w:themeColor="text1"/>
                <w:kern w:val="0"/>
                <w:sz w:val="24"/>
                <w:szCs w:val="24"/>
              </w:rPr>
              <w:t>水泥</w:t>
            </w:r>
            <w:r>
              <w:rPr>
                <w:rFonts w:hint="eastAsia" w:ascii="Times New Roman" w:hAnsi="Times New Roman"/>
                <w:color w:val="000000" w:themeColor="text1"/>
                <w:kern w:val="0"/>
                <w:sz w:val="24"/>
                <w:szCs w:val="24"/>
              </w:rPr>
              <w:t>、粉煤灰</w:t>
            </w:r>
            <w:r>
              <w:rPr>
                <w:rFonts w:ascii="Times New Roman" w:hAnsi="Times New Roman"/>
                <w:bCs/>
                <w:color w:val="000000" w:themeColor="text1"/>
                <w:kern w:val="0"/>
                <w:sz w:val="24"/>
              </w:rPr>
              <w:t>筒库安装旋风+布袋除尘器，此外建设单位还</w:t>
            </w:r>
            <w:r>
              <w:rPr>
                <w:rFonts w:ascii="Times New Roman" w:hAnsi="Times New Roman"/>
                <w:color w:val="000000" w:themeColor="text1"/>
                <w:kern w:val="0"/>
                <w:sz w:val="24"/>
              </w:rPr>
              <w:t>要加强物料运输和装卸管理</w:t>
            </w:r>
            <w:r>
              <w:rPr>
                <w:rFonts w:ascii="Times New Roman" w:hAnsi="Times New Roman"/>
                <w:color w:val="000000" w:themeColor="text1"/>
                <w:kern w:val="0"/>
                <w:sz w:val="24"/>
                <w:szCs w:val="24"/>
              </w:rPr>
              <w:t>；定时站内清扫、洒水。采取以上措施后，排放的粉尘符合达到《水泥工业大气污染物排放标准》（GB4915-2013）的要求，对周围的环境空</w:t>
            </w:r>
            <w:r>
              <w:rPr>
                <w:rFonts w:ascii="Times New Roman" w:hAnsi="Times New Roman"/>
                <w:color w:val="000000" w:themeColor="text1"/>
                <w:kern w:val="0"/>
                <w:sz w:val="24"/>
              </w:rPr>
              <w:t>气质量影响不大。</w:t>
            </w:r>
          </w:p>
          <w:p>
            <w:pPr>
              <w:adjustRightInd w:val="0"/>
              <w:spacing w:line="360" w:lineRule="auto"/>
              <w:ind w:firstLine="480" w:firstLineChars="200"/>
              <w:textAlignment w:val="baseline"/>
              <w:rPr>
                <w:rFonts w:ascii="Times New Roman" w:hAnsi="Times New Roman"/>
                <w:color w:val="000000"/>
                <w:kern w:val="0"/>
                <w:sz w:val="24"/>
                <w:highlight w:val="yellow"/>
              </w:rPr>
            </w:pPr>
            <w:r>
              <w:rPr>
                <w:rFonts w:ascii="Times New Roman" w:hAnsi="Times New Roman"/>
                <w:color w:val="000000"/>
                <w:kern w:val="0"/>
                <w:sz w:val="24"/>
              </w:rPr>
              <w:t>汽车尾气：项目应加强管理，加强机动车的检测与维修，禁止使用尾气污染物超标排放的机动车；禁止车辆怠速运转。</w:t>
            </w:r>
            <w:r>
              <w:rPr>
                <w:rFonts w:ascii="Times New Roman" w:hAnsi="宋体"/>
                <w:color w:val="000000"/>
                <w:kern w:val="0"/>
                <w:sz w:val="24"/>
                <w:szCs w:val="24"/>
              </w:rPr>
              <w:t>经过上述措施处理后，项目汽车尾气对周围环境的影响很小。</w:t>
            </w:r>
          </w:p>
          <w:p>
            <w:pPr>
              <w:adjustRightInd w:val="0"/>
              <w:spacing w:line="360" w:lineRule="auto"/>
              <w:ind w:firstLine="480" w:firstLineChars="200"/>
              <w:textAlignment w:val="baseline"/>
              <w:rPr>
                <w:rFonts w:ascii="Times New Roman" w:hAnsi="宋体"/>
                <w:color w:val="000000"/>
                <w:kern w:val="0"/>
                <w:sz w:val="24"/>
              </w:rPr>
            </w:pPr>
            <w:r>
              <w:rPr>
                <w:rFonts w:ascii="Times New Roman" w:hAnsi="宋体"/>
                <w:color w:val="000000"/>
                <w:kern w:val="0"/>
                <w:sz w:val="24"/>
              </w:rPr>
              <w:t>油烟废气：项目食堂在烹饪过程中产生一定的油烟</w:t>
            </w:r>
            <w:r>
              <w:rPr>
                <w:rFonts w:hint="eastAsia" w:ascii="Times New Roman" w:hAnsi="宋体"/>
                <w:color w:val="000000"/>
                <w:kern w:val="0"/>
                <w:sz w:val="24"/>
              </w:rPr>
              <w:t>，</w:t>
            </w:r>
            <w:r>
              <w:rPr>
                <w:rFonts w:ascii="Times New Roman" w:hAnsi="宋体"/>
                <w:color w:val="000000"/>
                <w:kern w:val="0"/>
                <w:sz w:val="24"/>
              </w:rPr>
              <w:t>项目油烟经</w:t>
            </w:r>
            <w:r>
              <w:rPr>
                <w:rFonts w:hint="eastAsia" w:ascii="Times New Roman" w:hAnsi="宋体"/>
                <w:color w:val="000000"/>
                <w:kern w:val="0"/>
                <w:sz w:val="24"/>
              </w:rPr>
              <w:t>油烟</w:t>
            </w:r>
            <w:r>
              <w:rPr>
                <w:rFonts w:ascii="Times New Roman" w:hAnsi="宋体"/>
                <w:color w:val="000000"/>
                <w:kern w:val="0"/>
                <w:sz w:val="24"/>
              </w:rPr>
              <w:t>净化装置处理达标后经专门管道高空排放，符合GB18483-2001《饮食业油烟排放标准》的要求</w:t>
            </w:r>
            <w:r>
              <w:rPr>
                <w:rFonts w:hint="eastAsia" w:ascii="Times New Roman" w:hAnsi="宋体"/>
                <w:color w:val="000000"/>
                <w:kern w:val="0"/>
                <w:sz w:val="24"/>
              </w:rPr>
              <w:t xml:space="preserve">。 </w:t>
            </w:r>
          </w:p>
          <w:p>
            <w:pPr>
              <w:spacing w:line="360" w:lineRule="auto"/>
              <w:ind w:firstLine="480" w:firstLineChars="200"/>
              <w:rPr>
                <w:rFonts w:ascii="Times New Roman" w:hAnsi="宋体"/>
                <w:color w:val="000000"/>
                <w:kern w:val="0"/>
                <w:sz w:val="24"/>
              </w:rPr>
            </w:pPr>
            <w:r>
              <w:rPr>
                <w:rFonts w:hint="eastAsia" w:ascii="Times New Roman" w:hAnsi="宋体"/>
                <w:color w:val="000000"/>
                <w:kern w:val="0"/>
                <w:sz w:val="24"/>
              </w:rPr>
              <w:t>发电机废气：</w:t>
            </w:r>
            <w:r>
              <w:rPr>
                <w:rFonts w:ascii="Times New Roman" w:hAnsi="宋体"/>
                <w:color w:val="000000"/>
                <w:kern w:val="0"/>
                <w:sz w:val="24"/>
              </w:rPr>
              <w:t>在采用高效率燃油发电机，使用轻柴油作为燃料，废气排放口设置在楼顶，安装柴油颗粒捕集器对烟气进行处理的情况下，发电机燃油废气中SO</w:t>
            </w:r>
            <w:r>
              <w:rPr>
                <w:rFonts w:ascii="Times New Roman" w:hAnsi="宋体"/>
                <w:color w:val="000000"/>
                <w:kern w:val="0"/>
                <w:sz w:val="24"/>
                <w:vertAlign w:val="subscript"/>
              </w:rPr>
              <w:t>2</w:t>
            </w:r>
            <w:r>
              <w:rPr>
                <w:rFonts w:ascii="Times New Roman" w:hAnsi="宋体"/>
                <w:color w:val="000000"/>
                <w:kern w:val="0"/>
                <w:sz w:val="24"/>
              </w:rPr>
              <w:t>、NO</w:t>
            </w:r>
            <w:r>
              <w:rPr>
                <w:rFonts w:ascii="Times New Roman" w:hAnsi="宋体"/>
                <w:color w:val="000000"/>
                <w:kern w:val="0"/>
                <w:sz w:val="24"/>
                <w:vertAlign w:val="subscript"/>
              </w:rPr>
              <w:t>X</w:t>
            </w:r>
            <w:r>
              <w:rPr>
                <w:rFonts w:ascii="Times New Roman" w:hAnsi="宋体"/>
                <w:color w:val="000000"/>
                <w:kern w:val="0"/>
                <w:sz w:val="24"/>
              </w:rPr>
              <w:t>、烟尘的排放速率均能满足《大气污染物排放限值》（DB44/27-2001）第二时段二级标准相关污染物排放限值要求，对周围环境产生一定的影响较小。</w:t>
            </w:r>
          </w:p>
          <w:p>
            <w:pPr>
              <w:spacing w:line="360" w:lineRule="auto"/>
              <w:ind w:firstLine="482" w:firstLineChars="200"/>
              <w:rPr>
                <w:rFonts w:ascii="Times New Roman" w:hAnsi="Times New Roman"/>
                <w:b/>
                <w:bCs/>
                <w:color w:val="000000" w:themeColor="text1"/>
                <w:sz w:val="24"/>
                <w:szCs w:val="24"/>
              </w:rPr>
            </w:pPr>
            <w:r>
              <w:rPr>
                <w:rFonts w:ascii="Times New Roman" w:hAnsi="宋体"/>
                <w:b/>
                <w:bCs/>
                <w:color w:val="000000" w:themeColor="text1"/>
                <w:sz w:val="24"/>
                <w:szCs w:val="24"/>
              </w:rPr>
              <w:t>（</w:t>
            </w:r>
            <w:r>
              <w:rPr>
                <w:rFonts w:ascii="Times New Roman" w:hAnsi="Times New Roman"/>
                <w:b/>
                <w:bCs/>
                <w:color w:val="000000" w:themeColor="text1"/>
                <w:sz w:val="24"/>
                <w:szCs w:val="24"/>
              </w:rPr>
              <w:t>3</w:t>
            </w:r>
            <w:r>
              <w:rPr>
                <w:rFonts w:ascii="Times New Roman" w:hAnsi="宋体"/>
                <w:b/>
                <w:bCs/>
                <w:color w:val="000000" w:themeColor="text1"/>
                <w:sz w:val="24"/>
                <w:szCs w:val="24"/>
              </w:rPr>
              <w:t>）声环境影响评价结论：</w:t>
            </w:r>
          </w:p>
          <w:p>
            <w:pPr>
              <w:spacing w:line="360" w:lineRule="auto"/>
              <w:ind w:firstLine="480" w:firstLineChars="200"/>
              <w:rPr>
                <w:rFonts w:ascii="Times New Roman" w:hAnsi="宋体"/>
                <w:color w:val="000000" w:themeColor="text1"/>
                <w:sz w:val="24"/>
                <w:szCs w:val="24"/>
              </w:rPr>
            </w:pPr>
            <w:r>
              <w:rPr>
                <w:rFonts w:ascii="Times New Roman" w:hAnsi="宋体"/>
                <w:color w:val="000000" w:themeColor="text1"/>
                <w:sz w:val="24"/>
                <w:szCs w:val="24"/>
              </w:rPr>
              <w:t>项目混凝土生产线、输送机、搅拌运输车会产生一定的机械噪声。</w:t>
            </w:r>
            <w:r>
              <w:rPr>
                <w:rFonts w:hint="eastAsia" w:ascii="Times New Roman" w:hAnsi="宋体"/>
                <w:color w:val="000000" w:themeColor="text1"/>
                <w:sz w:val="24"/>
                <w:szCs w:val="24"/>
              </w:rPr>
              <w:t>为了避免项目噪声对周围环境的影响：限制搅拌运输车行驶车速及禁止鸣笛，搅拌运输车经过的重要路段作隔声屏障处理，降低搅拌运输车产生的交通噪声；加强管理，加强对设备机搅拌运输车的维修保养。另外项目夜间不从事任何生产活动，对周边环境影响较小。</w:t>
            </w:r>
          </w:p>
          <w:p>
            <w:pPr>
              <w:spacing w:line="360" w:lineRule="auto"/>
              <w:ind w:firstLine="480" w:firstLineChars="200"/>
              <w:rPr>
                <w:rFonts w:ascii="Times New Roman" w:hAnsi="宋体"/>
                <w:color w:val="000000" w:themeColor="text1"/>
                <w:sz w:val="24"/>
                <w:szCs w:val="24"/>
              </w:rPr>
            </w:pPr>
            <w:r>
              <w:rPr>
                <w:rFonts w:ascii="Times New Roman" w:hAnsi="宋体"/>
                <w:color w:val="000000" w:themeColor="text1"/>
                <w:sz w:val="24"/>
                <w:szCs w:val="24"/>
              </w:rPr>
              <w:t>经过上述措施处理后，项目厂界外1米处的噪声能满足《工业企业厂界环境噪声排放标准》（GB12348-2008）中的</w:t>
            </w:r>
            <w:r>
              <w:rPr>
                <w:rFonts w:hint="eastAsia" w:ascii="Times New Roman" w:hAnsi="宋体"/>
                <w:color w:val="000000" w:themeColor="text1"/>
                <w:sz w:val="24"/>
                <w:szCs w:val="24"/>
              </w:rPr>
              <w:t>2</w:t>
            </w:r>
            <w:r>
              <w:rPr>
                <w:rFonts w:ascii="Times New Roman" w:hAnsi="宋体"/>
                <w:color w:val="000000" w:themeColor="text1"/>
                <w:sz w:val="24"/>
                <w:szCs w:val="24"/>
              </w:rPr>
              <w:t>类标准，对周围的声环境影响很小。</w:t>
            </w:r>
          </w:p>
          <w:p>
            <w:pPr>
              <w:spacing w:line="360" w:lineRule="auto"/>
              <w:ind w:firstLine="482" w:firstLineChars="200"/>
              <w:rPr>
                <w:rFonts w:ascii="Times New Roman" w:hAnsi="Times New Roman"/>
                <w:b/>
                <w:bCs/>
                <w:color w:val="000000" w:themeColor="text1"/>
                <w:sz w:val="24"/>
                <w:szCs w:val="24"/>
              </w:rPr>
            </w:pPr>
            <w:r>
              <w:rPr>
                <w:rFonts w:ascii="Times New Roman" w:hAnsi="宋体"/>
                <w:b/>
                <w:bCs/>
                <w:color w:val="000000" w:themeColor="text1"/>
                <w:sz w:val="24"/>
                <w:szCs w:val="24"/>
              </w:rPr>
              <w:t>（</w:t>
            </w:r>
            <w:r>
              <w:rPr>
                <w:rFonts w:ascii="Times New Roman" w:hAnsi="Times New Roman"/>
                <w:b/>
                <w:bCs/>
                <w:color w:val="000000" w:themeColor="text1"/>
                <w:sz w:val="24"/>
                <w:szCs w:val="24"/>
              </w:rPr>
              <w:t>4</w:t>
            </w:r>
            <w:r>
              <w:rPr>
                <w:rFonts w:ascii="Times New Roman" w:hAnsi="宋体"/>
                <w:b/>
                <w:bCs/>
                <w:color w:val="000000" w:themeColor="text1"/>
                <w:sz w:val="24"/>
                <w:szCs w:val="24"/>
              </w:rPr>
              <w:t>）固体废物影响评价结论：</w:t>
            </w:r>
          </w:p>
          <w:p>
            <w:pPr>
              <w:adjustRightInd w:val="0"/>
              <w:snapToGrid w:val="0"/>
              <w:spacing w:line="360" w:lineRule="auto"/>
              <w:ind w:firstLine="480" w:firstLineChars="200"/>
              <w:rPr>
                <w:rFonts w:ascii="Times New Roman" w:hAnsi="宋体"/>
                <w:color w:val="000000" w:themeColor="text1"/>
                <w:sz w:val="24"/>
                <w:szCs w:val="24"/>
              </w:rPr>
            </w:pPr>
            <w:r>
              <w:rPr>
                <w:rFonts w:ascii="Times New Roman" w:hAnsi="宋体"/>
                <w:color w:val="000000" w:themeColor="text1"/>
                <w:sz w:val="24"/>
                <w:szCs w:val="24"/>
              </w:rPr>
              <w:t>项目生产经营过程中产生的固体废物主要是生活垃圾、一般工业固体废物和</w:t>
            </w:r>
            <w:r>
              <w:rPr>
                <w:rFonts w:hint="eastAsia" w:ascii="Times New Roman" w:hAnsi="宋体"/>
                <w:color w:val="000000" w:themeColor="text1"/>
                <w:sz w:val="24"/>
                <w:szCs w:val="24"/>
              </w:rPr>
              <w:t>严控</w:t>
            </w:r>
            <w:r>
              <w:rPr>
                <w:rFonts w:ascii="Times New Roman" w:hAnsi="宋体"/>
                <w:color w:val="000000" w:themeColor="text1"/>
                <w:sz w:val="24"/>
                <w:szCs w:val="24"/>
              </w:rPr>
              <w:t>废物。</w:t>
            </w:r>
          </w:p>
          <w:p>
            <w:pPr>
              <w:adjustRightInd w:val="0"/>
              <w:snapToGrid w:val="0"/>
              <w:spacing w:line="360" w:lineRule="auto"/>
              <w:ind w:firstLine="480" w:firstLineChars="200"/>
              <w:rPr>
                <w:rFonts w:ascii="Times New Roman" w:hAnsi="宋体"/>
                <w:color w:val="000000" w:themeColor="text1"/>
                <w:sz w:val="24"/>
                <w:szCs w:val="24"/>
              </w:rPr>
            </w:pPr>
            <w:r>
              <w:rPr>
                <w:rFonts w:ascii="Times New Roman" w:hAnsi="宋体"/>
                <w:color w:val="000000" w:themeColor="text1"/>
                <w:sz w:val="24"/>
                <w:szCs w:val="24"/>
              </w:rPr>
              <w:t>生活垃圾</w:t>
            </w:r>
            <w:r>
              <w:rPr>
                <w:rFonts w:hint="eastAsia" w:ascii="Times New Roman" w:hAnsi="宋体"/>
                <w:color w:val="000000" w:themeColor="text1"/>
                <w:sz w:val="24"/>
                <w:szCs w:val="24"/>
              </w:rPr>
              <w:t>应</w:t>
            </w:r>
            <w:r>
              <w:rPr>
                <w:rFonts w:ascii="Times New Roman" w:hAnsi="宋体"/>
                <w:color w:val="000000" w:themeColor="text1"/>
                <w:sz w:val="24"/>
                <w:szCs w:val="24"/>
              </w:rPr>
              <w:t>分类收集后，交环卫部门统一处理。项目生产过程中的废沙石渣、剩余混凝土及沉淀池沉渣等，</w:t>
            </w:r>
            <w:r>
              <w:rPr>
                <w:rFonts w:hint="eastAsia" w:ascii="Times New Roman" w:hAnsi="宋体"/>
                <w:color w:val="000000" w:themeColor="text1"/>
                <w:sz w:val="24"/>
                <w:szCs w:val="24"/>
              </w:rPr>
              <w:t>应</w:t>
            </w:r>
            <w:r>
              <w:rPr>
                <w:rFonts w:ascii="Times New Roman" w:hAnsi="宋体"/>
                <w:color w:val="000000" w:themeColor="text1"/>
                <w:sz w:val="24"/>
                <w:szCs w:val="24"/>
              </w:rPr>
              <w:t>集中收集后交有建筑垃圾处理能力的单位处理，对周围环境无直接影响。项目产生</w:t>
            </w:r>
            <w:r>
              <w:rPr>
                <w:rFonts w:hint="eastAsia" w:ascii="Times New Roman" w:hAnsi="宋体"/>
                <w:color w:val="000000" w:themeColor="text1"/>
                <w:sz w:val="24"/>
                <w:szCs w:val="24"/>
              </w:rPr>
              <w:t>餐厨垃圾</w:t>
            </w:r>
            <w:r>
              <w:rPr>
                <w:rFonts w:ascii="Times New Roman" w:hAnsi="宋体"/>
                <w:color w:val="000000" w:themeColor="text1"/>
                <w:sz w:val="24"/>
                <w:szCs w:val="24"/>
              </w:rPr>
              <w:t>应集中收集后交具有餐厨垃圾处理资质的单位处理，签订协议。</w:t>
            </w:r>
            <w:r>
              <w:rPr>
                <w:color w:val="000000"/>
                <w:sz w:val="24"/>
                <w:szCs w:val="24"/>
              </w:rPr>
              <w:t>经上述措施处理后，项目产生的固体废弃物对周围环境不产生直接影响。</w:t>
            </w:r>
          </w:p>
          <w:p>
            <w:pPr>
              <w:spacing w:line="360" w:lineRule="auto"/>
              <w:ind w:firstLine="482" w:firstLineChars="200"/>
              <w:rPr>
                <w:rFonts w:ascii="Times New Roman" w:hAnsi="Times New Roman"/>
                <w:b/>
                <w:bCs/>
                <w:color w:val="000000" w:themeColor="text1"/>
                <w:sz w:val="24"/>
                <w:szCs w:val="24"/>
              </w:rPr>
            </w:pPr>
            <w:r>
              <w:rPr>
                <w:rFonts w:ascii="Times New Roman" w:hAnsi="宋体"/>
                <w:b/>
                <w:bCs/>
                <w:color w:val="000000" w:themeColor="text1"/>
                <w:sz w:val="24"/>
                <w:szCs w:val="24"/>
              </w:rPr>
              <w:t>五、环保投资、验收结论</w:t>
            </w:r>
          </w:p>
          <w:p>
            <w:pPr>
              <w:spacing w:line="360" w:lineRule="auto"/>
              <w:ind w:firstLine="480" w:firstLineChars="200"/>
              <w:rPr>
                <w:rFonts w:ascii="Times New Roman" w:hAnsi="Times New Roman"/>
                <w:bCs/>
                <w:color w:val="000000" w:themeColor="text1"/>
                <w:sz w:val="24"/>
                <w:szCs w:val="24"/>
              </w:rPr>
            </w:pPr>
            <w:r>
              <w:rPr>
                <w:rFonts w:ascii="Times New Roman" w:hAnsi="宋体"/>
                <w:bCs/>
                <w:color w:val="000000" w:themeColor="text1"/>
                <w:sz w:val="24"/>
                <w:szCs w:val="24"/>
              </w:rPr>
              <w:t>项目涉及到的各项环保资金和环保措施按照要求落实到位，则产生的废水、废气、噪声、固体废物对周围的环境产生的影响在可接受范围内。</w:t>
            </w:r>
          </w:p>
          <w:p>
            <w:pPr>
              <w:spacing w:line="360" w:lineRule="auto"/>
              <w:rPr>
                <w:rFonts w:ascii="Times New Roman" w:hAnsi="Times New Roman"/>
                <w:bCs/>
                <w:color w:val="FF0000"/>
                <w:sz w:val="24"/>
                <w:szCs w:val="24"/>
                <w:highlight w:val="yellow"/>
              </w:rPr>
            </w:pPr>
          </w:p>
          <w:p>
            <w:pPr>
              <w:spacing w:line="360" w:lineRule="auto"/>
              <w:rPr>
                <w:rFonts w:ascii="Times New Roman" w:hAnsi="Times New Roman"/>
                <w:bCs/>
                <w:color w:val="FF0000"/>
                <w:sz w:val="24"/>
                <w:szCs w:val="24"/>
                <w:highlight w:val="yellow"/>
              </w:rPr>
            </w:pPr>
          </w:p>
          <w:p>
            <w:pPr>
              <w:spacing w:line="360" w:lineRule="auto"/>
              <w:rPr>
                <w:rFonts w:ascii="Times New Roman" w:hAnsi="Times New Roman"/>
                <w:bCs/>
                <w:color w:val="FF0000"/>
                <w:sz w:val="24"/>
                <w:szCs w:val="24"/>
                <w:highlight w:val="yellow"/>
              </w:rPr>
            </w:pPr>
          </w:p>
          <w:p>
            <w:pPr>
              <w:spacing w:line="360" w:lineRule="auto"/>
              <w:rPr>
                <w:rFonts w:ascii="Times New Roman" w:hAnsi="Times New Roman"/>
                <w:bCs/>
                <w:color w:val="FF0000"/>
                <w:sz w:val="24"/>
                <w:szCs w:val="24"/>
                <w:highlight w:val="yellow"/>
              </w:rPr>
            </w:pPr>
          </w:p>
          <w:p>
            <w:pPr>
              <w:snapToGrid w:val="0"/>
              <w:spacing w:line="360" w:lineRule="auto"/>
              <w:ind w:firstLine="482" w:firstLineChars="200"/>
              <w:rPr>
                <w:rFonts w:ascii="Times New Roman" w:hAnsi="宋体"/>
                <w:b/>
                <w:color w:val="000000" w:themeColor="text1"/>
                <w:sz w:val="24"/>
              </w:rPr>
            </w:pPr>
            <w:r>
              <w:rPr>
                <w:rFonts w:ascii="Times New Roman" w:hAnsi="宋体"/>
                <w:b/>
                <w:color w:val="000000" w:themeColor="text1"/>
                <w:sz w:val="24"/>
              </w:rPr>
              <w:t>综上所述，项目选址符合区域环境功能区划要求，符合产业政策相关要求，选址是合理的。项目施工期、运营期如能采取积极措施，并严格执行</w:t>
            </w:r>
            <w:r>
              <w:rPr>
                <w:rFonts w:ascii="Times New Roman" w:hAnsi="Times New Roman"/>
                <w:b/>
                <w:color w:val="000000" w:themeColor="text1"/>
                <w:sz w:val="24"/>
              </w:rPr>
              <w:t>“</w:t>
            </w:r>
            <w:r>
              <w:rPr>
                <w:rFonts w:ascii="Times New Roman" w:hAnsi="宋体"/>
                <w:b/>
                <w:color w:val="000000" w:themeColor="text1"/>
                <w:sz w:val="24"/>
              </w:rPr>
              <w:t>三同时</w:t>
            </w:r>
            <w:r>
              <w:rPr>
                <w:rFonts w:ascii="Times New Roman" w:hAnsi="Times New Roman"/>
                <w:b/>
                <w:color w:val="000000" w:themeColor="text1"/>
                <w:sz w:val="24"/>
              </w:rPr>
              <w:t>”</w:t>
            </w:r>
            <w:r>
              <w:rPr>
                <w:rFonts w:ascii="Times New Roman" w:hAnsi="宋体"/>
                <w:b/>
                <w:color w:val="000000" w:themeColor="text1"/>
                <w:sz w:val="24"/>
              </w:rPr>
              <w:t>制度，严格控制污染物排放量，将产生的各项污染物按报告中提出的污染治理措施进行治理，加强污染治理设施和设备的运行管理，则项目施工期、营运期对周围环境不会产生明显的影响。从环境保护角度分析，项目在现地址进行建设是可行的。</w:t>
            </w: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ind w:firstLine="482" w:firstLineChars="200"/>
              <w:rPr>
                <w:rFonts w:ascii="Times New Roman" w:hAnsi="宋体"/>
                <w:b/>
                <w:color w:val="FF0000"/>
                <w:sz w:val="24"/>
              </w:rPr>
            </w:pPr>
          </w:p>
          <w:p>
            <w:pPr>
              <w:snapToGrid w:val="0"/>
              <w:spacing w:line="360" w:lineRule="auto"/>
              <w:rPr>
                <w:rFonts w:ascii="Times New Roman" w:hAnsi="Times New Roman"/>
                <w:b/>
                <w:color w:val="FF0000"/>
                <w:sz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gridBefore w:val="1"/>
          <w:gridAfter w:val="1"/>
          <w:wBefore w:w="165" w:type="dxa"/>
          <w:wAfter w:w="119" w:type="dxa"/>
          <w:trHeight w:val="13519" w:hRule="atLeast"/>
        </w:trPr>
        <w:tc>
          <w:tcPr>
            <w:tcW w:w="8610" w:type="dxa"/>
          </w:tcPr>
          <w:p>
            <w:pPr>
              <w:spacing w:line="360" w:lineRule="auto"/>
              <w:rPr>
                <w:rFonts w:ascii="Times New Roman" w:hAnsi="Times New Roman"/>
                <w:b/>
                <w:color w:val="000000" w:themeColor="text1"/>
                <w:sz w:val="24"/>
              </w:rPr>
            </w:pPr>
            <w:r>
              <w:rPr>
                <w:rFonts w:ascii="Times New Roman" w:hAnsi="宋体"/>
                <w:b/>
                <w:color w:val="000000" w:themeColor="text1"/>
                <w:sz w:val="24"/>
              </w:rPr>
              <w:t>附图：</w:t>
            </w:r>
          </w:p>
          <w:tbl>
            <w:tblPr>
              <w:tblStyle w:val="27"/>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Times New Roman"/>
                      <w:color w:val="000000" w:themeColor="text1"/>
                      <w:sz w:val="24"/>
                      <w:szCs w:val="24"/>
                    </w:rPr>
                  </w:pPr>
                  <w:r>
                    <w:rPr>
                      <w:rFonts w:ascii="Times New Roman" w:hAnsi="宋体"/>
                      <w:color w:val="000000" w:themeColor="text1"/>
                      <w:sz w:val="24"/>
                      <w:szCs w:val="24"/>
                    </w:rPr>
                    <w:t>附图</w:t>
                  </w:r>
                  <w:r>
                    <w:rPr>
                      <w:rFonts w:ascii="Times New Roman" w:hAnsi="Times New Roman"/>
                      <w:color w:val="000000" w:themeColor="text1"/>
                      <w:sz w:val="24"/>
                      <w:szCs w:val="24"/>
                    </w:rPr>
                    <w:t>1</w:t>
                  </w:r>
                </w:p>
              </w:tc>
              <w:tc>
                <w:tcPr>
                  <w:tcW w:w="7079" w:type="dxa"/>
                  <w:vAlign w:val="center"/>
                </w:tcPr>
                <w:p>
                  <w:pPr>
                    <w:spacing w:line="360" w:lineRule="auto"/>
                    <w:rPr>
                      <w:rFonts w:ascii="Times New Roman" w:hAnsi="Times New Roman"/>
                      <w:color w:val="000000" w:themeColor="text1"/>
                      <w:sz w:val="24"/>
                      <w:szCs w:val="24"/>
                    </w:rPr>
                  </w:pPr>
                  <w:r>
                    <w:rPr>
                      <w:rFonts w:ascii="Times New Roman" w:hAnsi="宋体"/>
                      <w:color w:val="000000" w:themeColor="text1"/>
                      <w:sz w:val="24"/>
                      <w:szCs w:val="24"/>
                    </w:rPr>
                    <w:t>项目地理位置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Times New Roman"/>
                      <w:color w:val="000000" w:themeColor="text1"/>
                      <w:sz w:val="24"/>
                      <w:szCs w:val="24"/>
                    </w:rPr>
                  </w:pPr>
                  <w:r>
                    <w:rPr>
                      <w:rFonts w:ascii="Times New Roman" w:hAnsi="宋体"/>
                      <w:color w:val="000000" w:themeColor="text1"/>
                      <w:sz w:val="24"/>
                      <w:szCs w:val="24"/>
                    </w:rPr>
                    <w:t>附图</w:t>
                  </w:r>
                  <w:r>
                    <w:rPr>
                      <w:rFonts w:ascii="Times New Roman" w:hAnsi="Times New Roman"/>
                      <w:color w:val="000000" w:themeColor="text1"/>
                      <w:sz w:val="24"/>
                      <w:szCs w:val="24"/>
                    </w:rPr>
                    <w:t>2</w:t>
                  </w:r>
                </w:p>
              </w:tc>
              <w:tc>
                <w:tcPr>
                  <w:tcW w:w="7079" w:type="dxa"/>
                  <w:vAlign w:val="center"/>
                </w:tcPr>
                <w:p>
                  <w:pPr>
                    <w:spacing w:line="360" w:lineRule="auto"/>
                    <w:rPr>
                      <w:rFonts w:ascii="Times New Roman" w:hAnsi="Times New Roman"/>
                      <w:color w:val="000000" w:themeColor="text1"/>
                      <w:sz w:val="24"/>
                      <w:szCs w:val="24"/>
                    </w:rPr>
                  </w:pPr>
                  <w:r>
                    <w:rPr>
                      <w:rFonts w:ascii="Times New Roman" w:hAnsi="宋体"/>
                      <w:color w:val="000000" w:themeColor="text1"/>
                      <w:sz w:val="24"/>
                      <w:szCs w:val="24"/>
                    </w:rPr>
                    <w:t>项目四至图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Times New Roman"/>
                      <w:color w:val="000000" w:themeColor="text1"/>
                      <w:sz w:val="24"/>
                      <w:szCs w:val="24"/>
                    </w:rPr>
                  </w:pPr>
                  <w:r>
                    <w:rPr>
                      <w:rFonts w:ascii="Times New Roman" w:hAnsi="宋体"/>
                      <w:color w:val="000000" w:themeColor="text1"/>
                      <w:sz w:val="24"/>
                      <w:szCs w:val="24"/>
                    </w:rPr>
                    <w:t>附图</w:t>
                  </w:r>
                  <w:r>
                    <w:rPr>
                      <w:rFonts w:ascii="Times New Roman" w:hAnsi="Times New Roman"/>
                      <w:color w:val="000000" w:themeColor="text1"/>
                      <w:sz w:val="24"/>
                      <w:szCs w:val="24"/>
                    </w:rPr>
                    <w:t>3</w:t>
                  </w:r>
                </w:p>
              </w:tc>
              <w:tc>
                <w:tcPr>
                  <w:tcW w:w="7079" w:type="dxa"/>
                  <w:vAlign w:val="center"/>
                </w:tcPr>
                <w:p>
                  <w:pPr>
                    <w:spacing w:line="360" w:lineRule="auto"/>
                    <w:rPr>
                      <w:rFonts w:ascii="Times New Roman" w:hAnsi="Times New Roman"/>
                      <w:color w:val="000000" w:themeColor="text1"/>
                      <w:sz w:val="24"/>
                      <w:szCs w:val="24"/>
                    </w:rPr>
                  </w:pPr>
                  <w:r>
                    <w:rPr>
                      <w:rFonts w:ascii="Times New Roman" w:hAnsi="宋体"/>
                      <w:color w:val="000000" w:themeColor="text1"/>
                      <w:sz w:val="24"/>
                      <w:szCs w:val="24"/>
                    </w:rPr>
                    <w:t>项目选址现状照片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Times New Roman"/>
                      <w:color w:val="000000" w:themeColor="text1"/>
                      <w:sz w:val="24"/>
                      <w:szCs w:val="24"/>
                    </w:rPr>
                  </w:pPr>
                  <w:r>
                    <w:rPr>
                      <w:rFonts w:ascii="Times New Roman" w:hAnsi="宋体"/>
                      <w:color w:val="000000" w:themeColor="text1"/>
                      <w:sz w:val="24"/>
                      <w:szCs w:val="24"/>
                    </w:rPr>
                    <w:t>附图</w:t>
                  </w:r>
                  <w:r>
                    <w:rPr>
                      <w:rFonts w:ascii="Times New Roman" w:hAnsi="Times New Roman"/>
                      <w:color w:val="000000" w:themeColor="text1"/>
                      <w:sz w:val="24"/>
                      <w:szCs w:val="24"/>
                    </w:rPr>
                    <w:t>4</w:t>
                  </w:r>
                </w:p>
              </w:tc>
              <w:tc>
                <w:tcPr>
                  <w:tcW w:w="7079" w:type="dxa"/>
                  <w:vAlign w:val="center"/>
                </w:tcPr>
                <w:p>
                  <w:pPr>
                    <w:spacing w:line="360" w:lineRule="auto"/>
                    <w:rPr>
                      <w:rFonts w:ascii="Times New Roman" w:hAnsi="Times New Roman"/>
                      <w:color w:val="000000" w:themeColor="text1"/>
                      <w:sz w:val="24"/>
                      <w:szCs w:val="24"/>
                    </w:rPr>
                  </w:pPr>
                  <w:r>
                    <w:rPr>
                      <w:rFonts w:hint="eastAsia" w:ascii="Times New Roman" w:hAnsi="宋体"/>
                      <w:color w:val="000000" w:themeColor="text1"/>
                      <w:sz w:val="24"/>
                      <w:szCs w:val="24"/>
                    </w:rPr>
                    <w:t>汕尾市近岸海域环境功能区划图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Times New Roman"/>
                      <w:color w:val="000000" w:themeColor="text1"/>
                      <w:sz w:val="24"/>
                      <w:szCs w:val="24"/>
                    </w:rPr>
                  </w:pPr>
                  <w:r>
                    <w:rPr>
                      <w:rFonts w:ascii="Times New Roman" w:hAnsi="宋体"/>
                      <w:color w:val="000000" w:themeColor="text1"/>
                      <w:sz w:val="24"/>
                      <w:szCs w:val="24"/>
                    </w:rPr>
                    <w:t>附图</w:t>
                  </w:r>
                  <w:r>
                    <w:rPr>
                      <w:rFonts w:ascii="Times New Roman" w:hAnsi="Times New Roman"/>
                      <w:color w:val="000000" w:themeColor="text1"/>
                      <w:sz w:val="24"/>
                      <w:szCs w:val="24"/>
                    </w:rPr>
                    <w:t>5</w:t>
                  </w:r>
                </w:p>
              </w:tc>
              <w:tc>
                <w:tcPr>
                  <w:tcW w:w="7079" w:type="dxa"/>
                  <w:vAlign w:val="center"/>
                </w:tcPr>
                <w:p>
                  <w:pPr>
                    <w:spacing w:line="360" w:lineRule="auto"/>
                    <w:rPr>
                      <w:rFonts w:ascii="Times New Roman" w:hAnsi="Times New Roman"/>
                      <w:color w:val="000000" w:themeColor="text1"/>
                      <w:sz w:val="24"/>
                      <w:szCs w:val="24"/>
                    </w:rPr>
                  </w:pPr>
                  <w:r>
                    <w:rPr>
                      <w:rFonts w:hint="eastAsia" w:ascii="Times New Roman" w:hAnsi="宋体"/>
                      <w:color w:val="000000" w:themeColor="text1"/>
                      <w:sz w:val="24"/>
                      <w:szCs w:val="24"/>
                    </w:rPr>
                    <w:t>汕尾市大气环境质量功能区划图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Times New Roman"/>
                      <w:color w:val="000000" w:themeColor="text1"/>
                      <w:sz w:val="24"/>
                      <w:szCs w:val="24"/>
                    </w:rPr>
                  </w:pPr>
                  <w:r>
                    <w:rPr>
                      <w:rFonts w:ascii="Times New Roman" w:hAnsi="宋体"/>
                      <w:color w:val="000000" w:themeColor="text1"/>
                      <w:sz w:val="24"/>
                      <w:szCs w:val="24"/>
                    </w:rPr>
                    <w:t>附图</w:t>
                  </w:r>
                  <w:r>
                    <w:rPr>
                      <w:rFonts w:ascii="Times New Roman" w:hAnsi="Times New Roman"/>
                      <w:color w:val="000000" w:themeColor="text1"/>
                      <w:sz w:val="24"/>
                      <w:szCs w:val="24"/>
                    </w:rPr>
                    <w:t>6</w:t>
                  </w:r>
                </w:p>
              </w:tc>
              <w:tc>
                <w:tcPr>
                  <w:tcW w:w="7079" w:type="dxa"/>
                  <w:vAlign w:val="center"/>
                </w:tcPr>
                <w:p>
                  <w:pPr>
                    <w:spacing w:line="360" w:lineRule="auto"/>
                    <w:rPr>
                      <w:rFonts w:ascii="Times New Roman" w:hAnsi="Times New Roman"/>
                      <w:color w:val="000000" w:themeColor="text1"/>
                      <w:sz w:val="24"/>
                      <w:szCs w:val="24"/>
                    </w:rPr>
                  </w:pPr>
                  <w:r>
                    <w:rPr>
                      <w:rFonts w:ascii="Times New Roman" w:hAnsi="宋体"/>
                      <w:color w:val="000000" w:themeColor="text1"/>
                      <w:sz w:val="24"/>
                      <w:szCs w:val="24"/>
                    </w:rPr>
                    <w:t>项目总平面布置图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宋体"/>
                      <w:color w:val="000000" w:themeColor="text1"/>
                      <w:sz w:val="24"/>
                      <w:szCs w:val="24"/>
                    </w:rPr>
                  </w:pPr>
                  <w:r>
                    <w:rPr>
                      <w:rFonts w:hint="eastAsia" w:ascii="Times New Roman" w:hAnsi="宋体"/>
                      <w:color w:val="000000" w:themeColor="text1"/>
                      <w:sz w:val="24"/>
                      <w:szCs w:val="24"/>
                    </w:rPr>
                    <w:t>附图7</w:t>
                  </w:r>
                </w:p>
              </w:tc>
              <w:tc>
                <w:tcPr>
                  <w:tcW w:w="7079" w:type="dxa"/>
                  <w:vAlign w:val="center"/>
                </w:tcPr>
                <w:p>
                  <w:pPr>
                    <w:spacing w:line="360" w:lineRule="auto"/>
                    <w:rPr>
                      <w:rFonts w:ascii="Times New Roman" w:hAnsi="宋体"/>
                      <w:color w:val="000000" w:themeColor="text1"/>
                      <w:sz w:val="24"/>
                      <w:szCs w:val="24"/>
                    </w:rPr>
                  </w:pPr>
                  <w:r>
                    <w:rPr>
                      <w:rFonts w:hint="eastAsia" w:ascii="Times New Roman" w:hAnsi="宋体"/>
                      <w:color w:val="000000" w:themeColor="text1"/>
                      <w:sz w:val="24"/>
                      <w:szCs w:val="24"/>
                    </w:rPr>
                    <w:t>项目红线范围图</w:t>
                  </w:r>
                </w:p>
              </w:tc>
            </w:tr>
          </w:tbl>
          <w:p>
            <w:pPr>
              <w:tabs>
                <w:tab w:val="left" w:pos="2310"/>
              </w:tabs>
              <w:spacing w:line="360" w:lineRule="auto"/>
              <w:rPr>
                <w:rFonts w:ascii="Times New Roman" w:hAnsi="Times New Roman"/>
                <w:b/>
                <w:color w:val="FF0000"/>
                <w:sz w:val="24"/>
              </w:rPr>
            </w:pPr>
            <w:r>
              <w:rPr>
                <w:rFonts w:ascii="Times New Roman" w:hAnsi="Times New Roman"/>
                <w:b/>
                <w:color w:val="FF0000"/>
                <w:sz w:val="24"/>
              </w:rPr>
              <w:tab/>
            </w:r>
          </w:p>
          <w:p>
            <w:pPr>
              <w:spacing w:line="360" w:lineRule="auto"/>
              <w:rPr>
                <w:rFonts w:ascii="Times New Roman" w:hAnsi="Times New Roman"/>
                <w:b/>
                <w:color w:val="000000" w:themeColor="text1"/>
                <w:sz w:val="24"/>
              </w:rPr>
            </w:pPr>
            <w:r>
              <w:rPr>
                <w:rFonts w:ascii="Times New Roman" w:hAnsi="宋体"/>
                <w:b/>
                <w:color w:val="000000" w:themeColor="text1"/>
                <w:sz w:val="24"/>
              </w:rPr>
              <w:t>附件：</w:t>
            </w:r>
          </w:p>
          <w:tbl>
            <w:tblPr>
              <w:tblStyle w:val="27"/>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Times New Roman"/>
                      <w:color w:val="000000" w:themeColor="text1"/>
                      <w:sz w:val="24"/>
                    </w:rPr>
                  </w:pPr>
                  <w:r>
                    <w:rPr>
                      <w:rFonts w:ascii="Times New Roman" w:hAnsi="宋体"/>
                      <w:color w:val="000000" w:themeColor="text1"/>
                      <w:sz w:val="24"/>
                    </w:rPr>
                    <w:t>附件</w:t>
                  </w:r>
                  <w:r>
                    <w:rPr>
                      <w:rFonts w:ascii="Times New Roman" w:hAnsi="Times New Roman"/>
                      <w:color w:val="000000" w:themeColor="text1"/>
                      <w:sz w:val="24"/>
                    </w:rPr>
                    <w:t>1</w:t>
                  </w:r>
                </w:p>
              </w:tc>
              <w:tc>
                <w:tcPr>
                  <w:tcW w:w="7079" w:type="dxa"/>
                  <w:vAlign w:val="center"/>
                </w:tcPr>
                <w:p>
                  <w:pPr>
                    <w:spacing w:line="360" w:lineRule="auto"/>
                    <w:rPr>
                      <w:rFonts w:ascii="Times New Roman" w:hAnsi="Times New Roman"/>
                      <w:color w:val="000000" w:themeColor="text1"/>
                      <w:sz w:val="24"/>
                    </w:rPr>
                  </w:pPr>
                  <w:r>
                    <w:rPr>
                      <w:rFonts w:ascii="Times New Roman" w:hAnsi="宋体"/>
                      <w:color w:val="000000" w:themeColor="text1"/>
                      <w:sz w:val="24"/>
                    </w:rPr>
                    <w:t>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Times New Roman"/>
                      <w:color w:val="000000" w:themeColor="text1"/>
                      <w:sz w:val="24"/>
                    </w:rPr>
                  </w:pPr>
                  <w:r>
                    <w:rPr>
                      <w:rFonts w:ascii="Times New Roman" w:hAnsi="宋体"/>
                      <w:color w:val="000000" w:themeColor="text1"/>
                      <w:sz w:val="24"/>
                    </w:rPr>
                    <w:t>附件</w:t>
                  </w:r>
                  <w:r>
                    <w:rPr>
                      <w:rFonts w:ascii="Times New Roman" w:hAnsi="Times New Roman"/>
                      <w:color w:val="000000" w:themeColor="text1"/>
                      <w:sz w:val="24"/>
                    </w:rPr>
                    <w:t>2</w:t>
                  </w:r>
                </w:p>
              </w:tc>
              <w:tc>
                <w:tcPr>
                  <w:tcW w:w="7079" w:type="dxa"/>
                  <w:vAlign w:val="center"/>
                </w:tcPr>
                <w:p>
                  <w:pPr>
                    <w:spacing w:line="360" w:lineRule="auto"/>
                    <w:rPr>
                      <w:rFonts w:ascii="Times New Roman" w:hAnsi="Times New Roman"/>
                      <w:color w:val="000000" w:themeColor="text1"/>
                      <w:sz w:val="24"/>
                    </w:rPr>
                  </w:pPr>
                  <w:r>
                    <w:rPr>
                      <w:rFonts w:hint="eastAsia" w:ascii="Times New Roman" w:hAnsi="Times New Roman"/>
                      <w:color w:val="000000" w:themeColor="text1"/>
                      <w:sz w:val="24"/>
                    </w:rPr>
                    <w:t>项目场地租赁合同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spacing w:line="360" w:lineRule="auto"/>
                    <w:jc w:val="center"/>
                    <w:rPr>
                      <w:rFonts w:ascii="Times New Roman" w:hAnsi="宋体"/>
                      <w:color w:val="000000" w:themeColor="text1"/>
                      <w:sz w:val="24"/>
                    </w:rPr>
                  </w:pPr>
                  <w:r>
                    <w:rPr>
                      <w:rFonts w:hint="eastAsia" w:ascii="Times New Roman" w:hAnsi="宋体"/>
                      <w:color w:val="000000" w:themeColor="text1"/>
                      <w:sz w:val="24"/>
                    </w:rPr>
                    <w:t>附件3</w:t>
                  </w:r>
                </w:p>
              </w:tc>
              <w:tc>
                <w:tcPr>
                  <w:tcW w:w="7079" w:type="dxa"/>
                  <w:vAlign w:val="center"/>
                </w:tcPr>
                <w:p>
                  <w:pPr>
                    <w:spacing w:line="360" w:lineRule="auto"/>
                    <w:rPr>
                      <w:rFonts w:ascii="Times New Roman" w:hAnsi="宋体"/>
                      <w:color w:val="000000" w:themeColor="text1"/>
                      <w:sz w:val="24"/>
                    </w:rPr>
                  </w:pPr>
                  <w:r>
                    <w:rPr>
                      <w:rFonts w:hint="eastAsia" w:ascii="Times New Roman" w:hAnsi="宋体"/>
                      <w:color w:val="000000" w:themeColor="text1"/>
                      <w:sz w:val="24"/>
                    </w:rPr>
                    <w:t>项目临时施工许可证</w:t>
                  </w:r>
                </w:p>
              </w:tc>
            </w:tr>
          </w:tbl>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p>
            <w:pPr>
              <w:spacing w:line="360" w:lineRule="auto"/>
              <w:rPr>
                <w:rFonts w:ascii="Times New Roman" w:hAnsi="Times New Roman"/>
                <w:b/>
                <w:color w:val="FF0000"/>
                <w:sz w:val="24"/>
                <w:highlight w:val="yellow"/>
              </w:rPr>
            </w:pPr>
          </w:p>
        </w:tc>
      </w:tr>
    </w:tbl>
    <w:p>
      <w:pPr>
        <w:spacing w:line="360" w:lineRule="auto"/>
        <w:rPr>
          <w:rFonts w:ascii="Times New Roman" w:hAnsi="Times New Roman"/>
          <w:color w:val="FF0000"/>
          <w:highlight w:val="yellow"/>
        </w:rPr>
        <w:sectPr>
          <w:footerReference r:id="rId8" w:type="first"/>
          <w:footerReference r:id="rId7" w:type="default"/>
          <w:pgSz w:w="11906" w:h="16838"/>
          <w:pgMar w:top="1418" w:right="1531" w:bottom="1418" w:left="1418" w:header="851" w:footer="992" w:gutter="57"/>
          <w:pgNumType w:start="1"/>
          <w:cols w:space="720" w:num="1"/>
          <w:titlePg/>
          <w:docGrid w:type="linesAndChars" w:linePitch="312" w:charSpace="0"/>
        </w:sectPr>
      </w:pPr>
    </w:p>
    <w:p>
      <w:pPr>
        <w:jc w:val="left"/>
        <w:outlineLvl w:val="0"/>
        <w:rPr>
          <w:rFonts w:ascii="Times New Roman" w:hAnsi="Times New Roman"/>
          <w:b/>
          <w:color w:val="FF0000"/>
          <w:szCs w:val="21"/>
        </w:rPr>
      </w:pPr>
      <w:r>
        <w:rPr>
          <w:rFonts w:ascii="Times New Roman" w:hAnsi="Times New Roman"/>
          <w:b/>
          <w:color w:val="FF0000"/>
          <w:szCs w:val="21"/>
        </w:rPr>
        <w:pict>
          <v:shape id="自选图形 2159" o:spid="_x0000_s4532" o:spt="12" type="#_x0000_t12" style="position:absolute;left:0pt;margin-left:242.6pt;margin-top:139.65pt;height:7.8pt;width:12.2pt;z-index:1024;mso-width-relative:page;mso-height-relative:page;" fillcolor="#FF0000" filled="t" coordsize="21600,21600">
            <v:path/>
            <v:fill on="t" focussize="0,0"/>
            <v:stroke joinstyle="miter"/>
            <v:imagedata o:title=""/>
            <o:lock v:ext="edit"/>
          </v:shape>
        </w:pict>
      </w:r>
      <w:r>
        <w:rPr>
          <w:rFonts w:ascii="Times New Roman" w:hAnsi="Times New Roman"/>
          <w:b/>
          <w:color w:val="FF0000"/>
          <w:szCs w:val="21"/>
        </w:rPr>
        <w:pict>
          <v:shape id="自选图形 2158" o:spid="_x0000_s4531" o:spt="61" type="#_x0000_t61" style="position:absolute;left:0pt;margin-left:269.6pt;margin-top:199.6pt;height:24.05pt;width:63pt;z-index:1024;mso-width-relative:page;mso-height-relative:page;" fillcolor="#FF6600" filled="t" coordsize="21600,21600" adj="-7491,-53888">
            <v:path/>
            <v:fill on="t" focussize="0,0"/>
            <v:stroke joinstyle="miter"/>
            <v:imagedata o:title=""/>
            <o:lock v:ext="edit"/>
            <v:textbox>
              <w:txbxContent>
                <w:p>
                  <w:pPr>
                    <w:rPr>
                      <w:b/>
                    </w:rPr>
                  </w:pPr>
                  <w:r>
                    <w:rPr>
                      <w:rFonts w:hint="eastAsia"/>
                      <w:b/>
                    </w:rPr>
                    <w:t>项目位置</w:t>
                  </w:r>
                </w:p>
              </w:txbxContent>
            </v:textbox>
          </v:shape>
        </w:pict>
      </w:r>
      <w:r>
        <w:rPr>
          <w:rFonts w:ascii="Times New Roman" w:hAnsi="Times New Roman"/>
          <w:b/>
          <w:color w:val="FF0000"/>
          <w:szCs w:val="21"/>
        </w:rPr>
        <w:pict>
          <v:shape id="_x0000_i1029" o:spt="75" type="#_x0000_t75" style="height:379.5pt;width:639.75pt;" filled="f" o:preferrelative="t" stroked="f" coordsize="21600,21600">
            <v:path/>
            <v:fill on="f" focussize="0,0"/>
            <v:stroke on="f" joinstyle="miter"/>
            <v:imagedata r:id="rId18" o:title=""/>
            <o:lock v:ext="edit" aspectratio="t"/>
            <w10:wrap type="none"/>
            <w10:anchorlock/>
          </v:shape>
        </w:pict>
      </w:r>
    </w:p>
    <w:p>
      <w:pPr>
        <w:jc w:val="center"/>
        <w:outlineLvl w:val="0"/>
        <w:rPr>
          <w:rFonts w:ascii="Times New Roman" w:hAnsi="Times New Roman"/>
          <w:b/>
          <w:color w:val="000000" w:themeColor="text1"/>
          <w:sz w:val="24"/>
          <w:szCs w:val="24"/>
        </w:rPr>
      </w:pPr>
      <w:r>
        <w:rPr>
          <w:rFonts w:hint="eastAsia" w:ascii="Times New Roman" w:hAnsi="Times New Roman"/>
          <w:b/>
          <w:color w:val="000000" w:themeColor="text1"/>
          <w:sz w:val="24"/>
          <w:szCs w:val="24"/>
        </w:rPr>
        <w:t>附图1  项目地理位置图</w:t>
      </w:r>
    </w:p>
    <w:p>
      <w:pPr>
        <w:jc w:val="center"/>
        <w:outlineLvl w:val="0"/>
        <w:rPr>
          <w:rFonts w:ascii="Times New Roman" w:hAnsi="Times New Roman"/>
          <w:b/>
          <w:color w:val="FF0000"/>
          <w:szCs w:val="21"/>
        </w:rPr>
      </w:pPr>
    </w:p>
    <w:p>
      <w:pPr>
        <w:jc w:val="center"/>
        <w:rPr>
          <w:color w:val="FF0000"/>
        </w:rPr>
      </w:pPr>
      <w:r>
        <w:rPr>
          <w:color w:val="FF0000"/>
        </w:rPr>
        <w:pict>
          <v:shape id="_x0000_s4613" o:spid="_x0000_s4613" o:spt="5" type="#_x0000_t5" style="position:absolute;left:0pt;margin-left:329.85pt;margin-top:218.4pt;height:5.95pt;width:7.95pt;z-index:1024;mso-width-relative:page;mso-height-relative:page;" fillcolor="#FF0000" filled="t" coordsize="21600,21600">
            <v:path/>
            <v:fill on="t" focussize="0,0"/>
            <v:stroke joinstyle="miter"/>
            <v:imagedata o:title=""/>
            <o:lock v:ext="edit"/>
          </v:shape>
        </w:pict>
      </w:r>
      <w:r>
        <w:rPr>
          <w:color w:val="FF0000"/>
        </w:rPr>
        <w:pict>
          <v:group id="Group 11571" o:spid="_x0000_s4610" o:spt="203" style="position:absolute;left:0pt;margin-left:550.35pt;margin-top:328.05pt;height:47.8pt;width:89.25pt;z-index:1024;mso-width-relative:page;mso-height-relative:page;" coordsize="1785,995">
            <o:lock v:ext="edit"/>
            <v:rect id="Rectangle 11520" o:spid="_x0000_s4611" o:spt="1" style="position:absolute;left:0;top:0;height:995;width:1785;" stroked="t" coordsize="21600,21600">
              <v:path/>
              <v:fill focussize="0,0"/>
              <v:stroke weight="1pt" color="#FF00FF"/>
              <v:imagedata o:title=""/>
              <o:lock v:ext="edit"/>
              <v:textbox>
                <w:txbxContent>
                  <w:p>
                    <w:pPr>
                      <w:spacing w:line="360" w:lineRule="auto"/>
                      <w:rPr>
                        <w:b/>
                      </w:rPr>
                    </w:pPr>
                    <w:r>
                      <w:rPr>
                        <w:rFonts w:hint="eastAsia"/>
                        <w:b/>
                      </w:rPr>
                      <w:t>图例</w:t>
                    </w:r>
                  </w:p>
                  <w:p>
                    <w:pPr>
                      <w:spacing w:line="360" w:lineRule="auto"/>
                      <w:rPr>
                        <w:b/>
                      </w:rPr>
                    </w:pPr>
                    <w:r>
                      <w:rPr>
                        <w:rFonts w:hint="eastAsia"/>
                        <w:b/>
                        <w:color w:val="FF00FF"/>
                      </w:rPr>
                      <w:t xml:space="preserve"> </w:t>
                    </w:r>
                    <w:r>
                      <w:rPr>
                        <w:rFonts w:hint="eastAsia"/>
                        <w:b/>
                        <w:color w:val="FF00FF"/>
                        <w:sz w:val="28"/>
                        <w:szCs w:val="28"/>
                      </w:rPr>
                      <w:t xml:space="preserve">  </w:t>
                    </w:r>
                    <w:r>
                      <w:rPr>
                        <w:rFonts w:hint="eastAsia"/>
                        <w:b/>
                      </w:rPr>
                      <w:t>噪声监测点</w:t>
                    </w:r>
                  </w:p>
                </w:txbxContent>
              </v:textbox>
            </v:rect>
            <v:shape id="AutoShape 11521" o:spid="_x0000_s4612" o:spt="5" type="#_x0000_t5" style="position:absolute;left:225;top:678;height:156;width:210;" fillcolor="#FF0000" filled="t" coordsize="21600,21600">
              <v:path/>
              <v:fill on="t" focussize="0,0"/>
              <v:stroke joinstyle="miter"/>
              <v:imagedata o:title=""/>
              <o:lock v:ext="edit"/>
            </v:shape>
          </v:group>
        </w:pict>
      </w:r>
      <w:r>
        <w:rPr>
          <w:color w:val="FF0000"/>
        </w:rPr>
        <w:pict>
          <v:shape id="_x0000_s4609" o:spid="_x0000_s4609" o:spt="5" type="#_x0000_t5" style="position:absolute;left:0pt;margin-left:341.55pt;margin-top:207.95pt;height:5.95pt;width:7.95pt;z-index:1024;mso-width-relative:page;mso-height-relative:page;" fillcolor="#FF0000" filled="t" coordsize="21600,21600">
            <v:path/>
            <v:fill on="t" focussize="0,0"/>
            <v:stroke joinstyle="miter"/>
            <v:imagedata o:title=""/>
            <o:lock v:ext="edit"/>
          </v:shape>
        </w:pict>
      </w:r>
      <w:r>
        <w:rPr>
          <w:color w:val="FF0000"/>
        </w:rPr>
        <w:pict>
          <v:shape id="_x0000_s4608" o:spid="_x0000_s4608" o:spt="5" type="#_x0000_t5" style="position:absolute;left:0pt;margin-left:262.5pt;margin-top:182.4pt;height:5.95pt;width:7.95pt;z-index:1024;mso-width-relative:page;mso-height-relative:page;" fillcolor="#FF0000" filled="t" coordsize="21600,21600">
            <v:path/>
            <v:fill on="t" focussize="0,0"/>
            <v:stroke joinstyle="miter"/>
            <v:imagedata o:title=""/>
            <o:lock v:ext="edit"/>
          </v:shape>
        </w:pict>
      </w:r>
      <w:r>
        <w:rPr>
          <w:color w:val="FF0000"/>
        </w:rPr>
        <w:pict>
          <v:shape id="_x0000_s4607" o:spid="_x0000_s4607" o:spt="5" type="#_x0000_t5" style="position:absolute;left:0pt;margin-left:333.6pt;margin-top:116.15pt;height:5.95pt;width:7.95pt;z-index:1024;mso-width-relative:page;mso-height-relative:page;" fillcolor="#FF0000" filled="t" coordsize="21600,21600">
            <v:path/>
            <v:fill on="t" focussize="0,0"/>
            <v:stroke joinstyle="miter"/>
            <v:imagedata o:title=""/>
            <o:lock v:ext="edit"/>
          </v:shape>
        </w:pict>
      </w:r>
      <w:r>
        <w:rPr>
          <w:color w:val="FF0000"/>
        </w:rPr>
        <w:pict>
          <v:shape id="AutoShape 12701" o:spid="_x0000_s4606" o:spt="5" type="#_x0000_t5" style="position:absolute;left:0pt;margin-left:403.8pt;margin-top:149.75pt;height:5.95pt;width:7.95pt;z-index:1024;mso-width-relative:page;mso-height-relative:page;" fillcolor="#FF0000" filled="t" coordsize="21600,21600">
            <v:path/>
            <v:fill on="t" focussize="0,0"/>
            <v:stroke joinstyle="miter"/>
            <v:imagedata o:title=""/>
            <o:lock v:ext="edit"/>
          </v:shape>
        </w:pict>
      </w:r>
      <w:r>
        <w:rPr>
          <w:color w:val="FF0000"/>
        </w:rPr>
        <w:pict>
          <v:rect id="_x0000_s4593" o:spid="_x0000_s4593" o:spt="1" style="position:absolute;left:0pt;margin-left:294.9pt;margin-top:218.4pt;height:44.25pt;width:92.25pt;z-index:1024;mso-width-relative:page;mso-height-relative:page;" filled="f" stroked="f" coordsize="21600,21600">
            <v:path/>
            <v:fill on="f" focussize="0,0"/>
            <v:stroke on="f"/>
            <v:imagedata o:title=""/>
            <o:lock v:ext="edit"/>
            <v:textbox>
              <w:txbxContent>
                <w:p>
                  <w:pPr>
                    <w:rPr>
                      <w:color w:val="FF0000"/>
                    </w:rPr>
                  </w:pPr>
                  <w:r>
                    <w:rPr>
                      <w:rFonts w:hint="eastAsia"/>
                      <w:color w:val="FF0000"/>
                    </w:rPr>
                    <w:t>空地</w:t>
                  </w:r>
                </w:p>
              </w:txbxContent>
            </v:textbox>
          </v:rect>
        </w:pict>
      </w:r>
      <w:r>
        <w:rPr>
          <w:color w:val="FF0000"/>
        </w:rPr>
        <w:pict>
          <v:rect id="_x0000_s4546" o:spid="_x0000_s4546" o:spt="1" style="position:absolute;left:0pt;margin-left:177.15pt;margin-top:138.15pt;height:44.25pt;width:92.25pt;z-index:1024;mso-width-relative:page;mso-height-relative:page;" filled="f" stroked="f" coordsize="21600,21600">
            <v:path/>
            <v:fill on="f" focussize="0,0"/>
            <v:stroke on="f"/>
            <v:imagedata o:title=""/>
            <o:lock v:ext="edit"/>
            <v:textbox>
              <w:txbxContent>
                <w:p>
                  <w:pPr>
                    <w:rPr>
                      <w:color w:val="FF0000"/>
                    </w:rPr>
                  </w:pPr>
                  <w:r>
                    <w:rPr>
                      <w:rFonts w:hint="eastAsia"/>
                      <w:color w:val="FF0000"/>
                    </w:rPr>
                    <w:t>三一重工企业</w:t>
                  </w:r>
                </w:p>
              </w:txbxContent>
            </v:textbox>
          </v:rect>
        </w:pict>
      </w:r>
      <w:r>
        <w:rPr>
          <w:color w:val="FF0000"/>
        </w:rPr>
        <w:pict>
          <v:rect id="_x0000_s4547" o:spid="_x0000_s4547" o:spt="1" style="position:absolute;left:0pt;margin-left:411.75pt;margin-top:138.15pt;height:44.25pt;width:92.25pt;z-index:1024;mso-width-relative:page;mso-height-relative:page;" filled="f" stroked="f" coordsize="21600,21600">
            <v:path/>
            <v:fill on="f" focussize="0,0"/>
            <v:stroke on="f"/>
            <v:imagedata o:title=""/>
            <o:lock v:ext="edit"/>
            <v:textbox>
              <w:txbxContent>
                <w:p>
                  <w:pPr>
                    <w:rPr>
                      <w:color w:val="FF0000"/>
                    </w:rPr>
                  </w:pPr>
                  <w:r>
                    <w:rPr>
                      <w:rFonts w:hint="eastAsia"/>
                      <w:color w:val="FF0000"/>
                    </w:rPr>
                    <w:t>空地</w:t>
                  </w:r>
                </w:p>
              </w:txbxContent>
            </v:textbox>
          </v:rect>
        </w:pict>
      </w:r>
      <w:r>
        <w:rPr>
          <w:color w:val="FF0000"/>
        </w:rPr>
        <w:pict>
          <v:rect id="_x0000_s4544" o:spid="_x0000_s4544" o:spt="1" style="position:absolute;left:0pt;margin-left:294.9pt;margin-top:93.9pt;height:44.25pt;width:92.25pt;z-index:1024;mso-width-relative:page;mso-height-relative:page;" filled="f" stroked="f" coordsize="21600,21600">
            <v:path/>
            <v:fill on="f" focussize="0,0"/>
            <v:stroke on="f"/>
            <v:imagedata o:title=""/>
            <o:lock v:ext="edit"/>
            <v:textbox>
              <w:txbxContent>
                <w:p>
                  <w:pPr>
                    <w:rPr>
                      <w:color w:val="FF0000"/>
                    </w:rPr>
                  </w:pPr>
                  <w:r>
                    <w:rPr>
                      <w:rFonts w:hint="eastAsia"/>
                      <w:color w:val="FF0000"/>
                    </w:rPr>
                    <w:t>空地</w:t>
                  </w:r>
                </w:p>
              </w:txbxContent>
            </v:textbox>
          </v:rect>
        </w:pict>
      </w:r>
      <w:r>
        <w:rPr>
          <w:color w:val="FF0000"/>
        </w:rPr>
        <w:pict>
          <v:rect id="_x0000_s4543" o:spid="_x0000_s4543" o:spt="1" style="position:absolute;left:0pt;margin-left:294.9pt;margin-top:146.4pt;height:44.25pt;width:92.25pt;z-index:1024;mso-width-relative:page;mso-height-relative:page;" filled="f" stroked="f" coordsize="21600,21600">
            <v:path/>
            <v:fill on="f" focussize="0,0"/>
            <v:stroke on="f"/>
            <v:imagedata o:title=""/>
            <o:lock v:ext="edit"/>
            <v:textbox>
              <w:txbxContent>
                <w:p>
                  <w:pPr>
                    <w:rPr>
                      <w:color w:val="FF0000"/>
                    </w:rPr>
                  </w:pPr>
                  <w:r>
                    <w:rPr>
                      <w:color w:val="FF0000"/>
                    </w:rPr>
                    <w:t>项目位置</w:t>
                  </w:r>
                </w:p>
              </w:txbxContent>
            </v:textbox>
          </v:rect>
        </w:pict>
      </w:r>
      <w:r>
        <w:rPr>
          <w:color w:val="FF0000"/>
        </w:rPr>
        <w:pict>
          <v:shape id="_x0000_s4592" o:spid="_x0000_s4592" style="position:absolute;left:0pt;margin-left:262.5pt;margin-top:111.15pt;height:107.25pt;width:138pt;z-index:1024;mso-width-relative:page;mso-height-relative:page;" filled="f" stroked="t" coordsize="2760,2145" path="m0,660l2415,0,2760,720,2655,1740,405,2145,0,660xe">
            <v:path arrowok="t"/>
            <v:fill on="f" focussize="0,0"/>
            <v:stroke weight="1.5pt" color="#FF0000"/>
            <v:imagedata o:title=""/>
            <o:lock v:ext="edit"/>
          </v:shape>
        </w:pict>
      </w:r>
      <w:r>
        <w:rPr>
          <w:color w:val="FF0000"/>
        </w:rPr>
        <w:pict>
          <v:shape id="_x0000_i1030" o:spt="75" type="#_x0000_t75" style="height:381.75pt;width:602.25pt;" filled="f" o:preferrelative="t" stroked="f" coordsize="21600,21600">
            <v:path/>
            <v:fill on="f" focussize="0,0"/>
            <v:stroke on="f" joinstyle="miter"/>
            <v:imagedata r:id="rId19" o:title=""/>
            <o:lock v:ext="edit" aspectratio="t"/>
            <w10:wrap type="none"/>
            <w10:anchorlock/>
          </v:shape>
        </w:pict>
      </w:r>
    </w:p>
    <w:p>
      <w:pPr>
        <w:rPr>
          <w:b/>
          <w:color w:val="000000" w:themeColor="text1"/>
          <w:sz w:val="24"/>
          <w:szCs w:val="24"/>
        </w:rPr>
      </w:pPr>
      <w:r>
        <w:rPr>
          <w:rFonts w:hint="eastAsia"/>
          <w:color w:val="FF0000"/>
        </w:rPr>
        <w:t xml:space="preserve">                                                    </w:t>
      </w:r>
      <w:r>
        <w:rPr>
          <w:rFonts w:hint="eastAsia"/>
          <w:color w:val="000000" w:themeColor="text1"/>
        </w:rPr>
        <w:t xml:space="preserve">     </w:t>
      </w:r>
      <w:r>
        <w:rPr>
          <w:rFonts w:hint="eastAsia"/>
          <w:b/>
          <w:color w:val="000000" w:themeColor="text1"/>
        </w:rPr>
        <w:t xml:space="preserve">   </w:t>
      </w:r>
      <w:r>
        <w:rPr>
          <w:rFonts w:hint="eastAsia"/>
          <w:b/>
          <w:color w:val="000000" w:themeColor="text1"/>
          <w:sz w:val="24"/>
          <w:szCs w:val="24"/>
        </w:rPr>
        <w:t>附图2：项目四至图</w:t>
      </w:r>
    </w:p>
    <w:p>
      <w:pPr>
        <w:rPr>
          <w:color w:val="FF0000"/>
        </w:rPr>
      </w:pPr>
    </w:p>
    <w:p>
      <w:pPr>
        <w:jc w:val="center"/>
        <w:rPr>
          <w:color w:val="FF0000"/>
        </w:rPr>
      </w:pPr>
      <w:r>
        <w:rPr>
          <w:color w:val="FF0000"/>
        </w:rPr>
        <w:pict>
          <v:shape id="_x0000_i1031" o:spt="75" type="#_x0000_t75" style="height:170.25pt;width:127.5pt;" filled="f" o:preferrelative="t" stroked="f" coordsize="21600,21600">
            <v:path/>
            <v:fill on="f" focussize="0,0"/>
            <v:stroke on="f" joinstyle="miter"/>
            <v:imagedata r:id="rId20" o:title="21C284E7A0A762089C93B3756086729B"/>
            <o:lock v:ext="edit" aspectratio="t"/>
            <w10:wrap type="none"/>
            <w10:anchorlock/>
          </v:shape>
        </w:pict>
      </w:r>
      <w:r>
        <w:rPr>
          <w:rFonts w:hint="eastAsia"/>
          <w:color w:val="FF0000"/>
        </w:rPr>
        <w:t xml:space="preserve">           </w:t>
      </w:r>
      <w:r>
        <w:rPr>
          <w:color w:val="FF0000"/>
        </w:rPr>
        <w:pict>
          <v:shape id="_x0000_i1032" o:spt="75" type="#_x0000_t75" style="height:170.25pt;width:127.5pt;" filled="f" o:preferrelative="t" stroked="f" coordsize="21600,21600">
            <v:path/>
            <v:fill on="f" focussize="0,0"/>
            <v:stroke on="f" joinstyle="miter"/>
            <v:imagedata r:id="rId21" o:title="IMG_3803"/>
            <o:lock v:ext="edit" aspectratio="t"/>
            <w10:wrap type="none"/>
            <w10:anchorlock/>
          </v:shape>
        </w:pict>
      </w:r>
      <w:r>
        <w:rPr>
          <w:rFonts w:hint="eastAsia"/>
          <w:color w:val="FF0000"/>
        </w:rPr>
        <w:t xml:space="preserve">         </w:t>
      </w:r>
      <w:r>
        <w:rPr>
          <w:color w:val="FF0000"/>
        </w:rPr>
        <w:pict>
          <v:shape id="_x0000_i1033" o:spt="75" type="#_x0000_t75" style="height:170.25pt;width:127.5pt;" filled="f" o:preferrelative="t" stroked="f" coordsize="21600,21600">
            <v:path/>
            <v:fill on="f" focussize="0,0"/>
            <v:stroke on="f" joinstyle="miter"/>
            <v:imagedata r:id="rId22" o:title="IMG_3804"/>
            <o:lock v:ext="edit" aspectratio="t"/>
            <w10:wrap type="none"/>
            <w10:anchorlock/>
          </v:shape>
        </w:pict>
      </w:r>
    </w:p>
    <w:p>
      <w:pPr>
        <w:rPr>
          <w:color w:val="000000" w:themeColor="text1"/>
        </w:rPr>
      </w:pPr>
      <w:r>
        <w:rPr>
          <w:rFonts w:hint="eastAsia"/>
          <w:color w:val="FF0000"/>
        </w:rPr>
        <w:t xml:space="preserve">                     </w:t>
      </w:r>
      <w:r>
        <w:rPr>
          <w:rFonts w:hint="eastAsia"/>
          <w:color w:val="000000" w:themeColor="text1"/>
        </w:rPr>
        <w:t xml:space="preserve"> 项目西面三一重工工地                     项目南面现状                   项目东面现状</w:t>
      </w:r>
    </w:p>
    <w:p>
      <w:pPr>
        <w:rPr>
          <w:color w:val="000000" w:themeColor="text1"/>
        </w:rPr>
      </w:pPr>
    </w:p>
    <w:p>
      <w:pPr>
        <w:jc w:val="center"/>
        <w:rPr>
          <w:color w:val="000000" w:themeColor="text1"/>
        </w:rPr>
      </w:pPr>
      <w:r>
        <w:rPr>
          <w:color w:val="000000" w:themeColor="text1"/>
        </w:rPr>
        <w:pict>
          <v:shape id="_x0000_i1034" o:spt="75" type="#_x0000_t75" style="height:170.25pt;width:127.5pt;" filled="f" o:preferrelative="t" stroked="f" coordsize="21600,21600">
            <v:path/>
            <v:fill on="f" focussize="0,0"/>
            <v:stroke on="f" joinstyle="miter"/>
            <v:imagedata r:id="rId23" o:title="IMG_3805"/>
            <o:lock v:ext="edit" aspectratio="t"/>
            <w10:wrap type="none"/>
            <w10:anchorlock/>
          </v:shape>
        </w:pict>
      </w:r>
      <w:r>
        <w:rPr>
          <w:rFonts w:hint="eastAsia"/>
          <w:color w:val="000000" w:themeColor="text1"/>
        </w:rPr>
        <w:t xml:space="preserve">        </w:t>
      </w:r>
      <w:r>
        <w:rPr>
          <w:color w:val="000000" w:themeColor="text1"/>
        </w:rPr>
        <w:pict>
          <v:shape id="_x0000_i1035" o:spt="75" type="#_x0000_t75" style="height:170.25pt;width:227.25pt;" filled="f" o:preferrelative="t" stroked="f" coordsize="21600,21600">
            <v:path/>
            <v:fill on="f" focussize="0,0"/>
            <v:stroke on="f" joinstyle="miter"/>
            <v:imagedata r:id="rId24" o:title="IMG_3807"/>
            <o:lock v:ext="edit" aspectratio="t"/>
            <w10:wrap type="none"/>
            <w10:anchorlock/>
          </v:shape>
        </w:pict>
      </w:r>
    </w:p>
    <w:p>
      <w:pPr>
        <w:rPr>
          <w:color w:val="000000" w:themeColor="text1"/>
        </w:rPr>
      </w:pPr>
      <w:r>
        <w:rPr>
          <w:rFonts w:hint="eastAsia"/>
          <w:color w:val="000000" w:themeColor="text1"/>
        </w:rPr>
        <w:t xml:space="preserve">                                    项目北面现状                              项目用地现状</w:t>
      </w:r>
    </w:p>
    <w:p>
      <w:pPr>
        <w:jc w:val="center"/>
        <w:rPr>
          <w:rFonts w:ascii="Times New Roman" w:hAnsi="Times New Roman"/>
          <w:b/>
          <w:color w:val="FF0000"/>
          <w:szCs w:val="21"/>
        </w:rPr>
      </w:pPr>
      <w:r>
        <w:rPr>
          <w:rFonts w:hint="eastAsia"/>
          <w:b/>
          <w:color w:val="000000" w:themeColor="text1"/>
          <w:sz w:val="24"/>
          <w:szCs w:val="24"/>
        </w:rPr>
        <w:t>附图3：项目选址现状照片</w:t>
      </w:r>
      <w:r>
        <w:rPr>
          <w:rFonts w:ascii="Times New Roman" w:hAnsi="Times New Roman"/>
          <w:b/>
          <w:color w:val="FF0000"/>
          <w:sz w:val="24"/>
          <w:szCs w:val="24"/>
        </w:rPr>
        <w:pict>
          <v:shape id="_x0000_i1036" o:spt="75" type="#_x0000_t75" style="height:376.5pt;width:624.75pt;" filled="f" o:preferrelative="t" stroked="f" coordsize="21600,21600">
            <v:path/>
            <v:fill on="f" focussize="0,0"/>
            <v:stroke on="f" joinstyle="miter"/>
            <v:imagedata r:id="rId25" o:title=""/>
            <o:lock v:ext="edit" aspectratio="t"/>
            <w10:wrap type="none"/>
            <w10:anchorlock/>
          </v:shape>
        </w:pict>
      </w:r>
    </w:p>
    <w:p>
      <w:pPr>
        <w:jc w:val="center"/>
        <w:outlineLvl w:val="0"/>
        <w:rPr>
          <w:rFonts w:ascii="Times New Roman" w:hAnsi="Times New Roman"/>
          <w:b/>
          <w:color w:val="000000" w:themeColor="text1"/>
          <w:sz w:val="24"/>
          <w:szCs w:val="24"/>
        </w:rPr>
      </w:pPr>
      <w:r>
        <w:rPr>
          <w:rFonts w:ascii="Times New Roman" w:hAnsi="Times New Roman"/>
          <w:b/>
          <w:color w:val="000000" w:themeColor="text1"/>
          <w:sz w:val="24"/>
          <w:szCs w:val="24"/>
        </w:rPr>
        <w:pict>
          <v:shape id="_x0000_s4538" o:spid="_x0000_s4538" o:spt="12" type="#_x0000_t12" style="position:absolute;left:0pt;margin-left:389.05pt;margin-top:-143.85pt;height:7.8pt;width:12.2pt;z-index:1024;mso-width-relative:page;mso-height-relative:page;" fillcolor="#FF0000" filled="t" coordsize="21600,21600">
            <v:path/>
            <v:fill on="t" focussize="0,0"/>
            <v:stroke joinstyle="miter"/>
            <v:imagedata o:title=""/>
            <o:lock v:ext="edit"/>
          </v:shape>
        </w:pict>
      </w:r>
      <w:r>
        <w:rPr>
          <w:rFonts w:ascii="Times New Roman" w:hAnsi="Times New Roman"/>
          <w:b/>
          <w:color w:val="000000" w:themeColor="text1"/>
          <w:sz w:val="24"/>
          <w:szCs w:val="24"/>
        </w:rPr>
        <w:pict>
          <v:shape id="_x0000_s4537" o:spid="_x0000_s4537" o:spt="61" type="#_x0000_t61" style="position:absolute;left:0pt;margin-left:365.6pt;margin-top:-49.95pt;height:24.05pt;width:63pt;z-index:1024;mso-width-relative:page;mso-height-relative:page;" fillcolor="#FF6600" filled="t" coordsize="21600,21600" adj="11023,-78811">
            <v:path/>
            <v:fill on="t" focussize="0,0"/>
            <v:stroke joinstyle="miter"/>
            <v:imagedata o:title=""/>
            <o:lock v:ext="edit"/>
            <v:textbox>
              <w:txbxContent>
                <w:p>
                  <w:pPr>
                    <w:rPr>
                      <w:b/>
                    </w:rPr>
                  </w:pPr>
                  <w:r>
                    <w:rPr>
                      <w:rFonts w:hint="eastAsia"/>
                      <w:b/>
                    </w:rPr>
                    <w:t>项目位置</w:t>
                  </w:r>
                </w:p>
              </w:txbxContent>
            </v:textbox>
          </v:shape>
        </w:pict>
      </w:r>
      <w:r>
        <w:rPr>
          <w:rFonts w:hint="eastAsia" w:ascii="Times New Roman" w:hAnsi="Times New Roman"/>
          <w:b/>
          <w:color w:val="000000" w:themeColor="text1"/>
          <w:sz w:val="24"/>
          <w:szCs w:val="24"/>
        </w:rPr>
        <w:t>附图4：汕尾市近岸海域环境功能区划图</w:t>
      </w:r>
    </w:p>
    <w:p>
      <w:pPr>
        <w:jc w:val="center"/>
        <w:outlineLvl w:val="0"/>
        <w:rPr>
          <w:rFonts w:ascii="Times New Roman" w:hAnsi="Times New Roman"/>
          <w:b/>
          <w:color w:val="FF0000"/>
          <w:szCs w:val="21"/>
        </w:rPr>
      </w:pPr>
    </w:p>
    <w:p>
      <w:pPr>
        <w:jc w:val="center"/>
        <w:outlineLvl w:val="0"/>
        <w:rPr>
          <w:rFonts w:ascii="Times New Roman" w:hAnsi="Times New Roman"/>
          <w:b/>
          <w:color w:val="FF0000"/>
          <w:szCs w:val="21"/>
        </w:rPr>
      </w:pPr>
      <w:r>
        <w:rPr>
          <w:rFonts w:ascii="Times New Roman" w:hAnsi="Times New Roman"/>
          <w:b/>
          <w:bCs/>
          <w:color w:val="FF0000"/>
          <w:szCs w:val="24"/>
        </w:rPr>
        <w:pict>
          <v:shape id="_x0000_s4540" o:spid="_x0000_s4540" o:spt="12" type="#_x0000_t12" style="position:absolute;left:0pt;margin-left:407.05pt;margin-top:222.6pt;height:7.8pt;width:12.2pt;z-index:1024;mso-width-relative:page;mso-height-relative:page;" fillcolor="#FF0000" filled="t" coordsize="21600,21600">
            <v:path/>
            <v:fill on="t" focussize="0,0"/>
            <v:stroke joinstyle="miter"/>
            <v:imagedata o:title=""/>
            <o:lock v:ext="edit"/>
          </v:shape>
        </w:pict>
      </w:r>
      <w:r>
        <w:rPr>
          <w:rFonts w:ascii="Times New Roman" w:hAnsi="Times New Roman"/>
          <w:b/>
          <w:bCs/>
          <w:color w:val="FF0000"/>
          <w:szCs w:val="24"/>
        </w:rPr>
        <w:pict>
          <v:shape id="_x0000_s4539" o:spid="_x0000_s4539" o:spt="61" type="#_x0000_t61" style="position:absolute;left:0pt;margin-left:378.35pt;margin-top:322.8pt;height:24.05pt;width:63pt;z-index:1024;mso-width-relative:page;mso-height-relative:page;" fillcolor="#FF6600" filled="t" coordsize="21600,21600" adj="12566,-83526">
            <v:path/>
            <v:fill on="t" focussize="0,0"/>
            <v:stroke joinstyle="miter"/>
            <v:imagedata o:title=""/>
            <o:lock v:ext="edit"/>
            <v:textbox>
              <w:txbxContent>
                <w:p>
                  <w:pPr>
                    <w:rPr>
                      <w:b/>
                    </w:rPr>
                  </w:pPr>
                  <w:r>
                    <w:rPr>
                      <w:rFonts w:hint="eastAsia"/>
                      <w:b/>
                    </w:rPr>
                    <w:t>项目位置</w:t>
                  </w:r>
                </w:p>
              </w:txbxContent>
            </v:textbox>
          </v:shape>
        </w:pict>
      </w:r>
      <w:r>
        <w:rPr>
          <w:rFonts w:ascii="Times New Roman" w:hAnsi="Times New Roman"/>
          <w:b/>
          <w:bCs/>
          <w:color w:val="FF0000"/>
          <w:szCs w:val="24"/>
        </w:rPr>
        <w:pict>
          <v:shape id="_x0000_i1037" o:spt="75" type="#_x0000_t75" style="height:363pt;width:624pt;" filled="f" o:preferrelative="t" stroked="f" coordsize="21600,21600">
            <v:path/>
            <v:fill on="f" focussize="0,0"/>
            <v:stroke on="f" joinstyle="miter"/>
            <v:imagedata r:id="rId26" o:title="空气功能区"/>
            <o:lock v:ext="edit" aspectratio="t"/>
            <w10:wrap type="none"/>
            <w10:anchorlock/>
          </v:shape>
        </w:pict>
      </w:r>
    </w:p>
    <w:p>
      <w:pPr>
        <w:jc w:val="center"/>
        <w:outlineLvl w:val="0"/>
        <w:rPr>
          <w:rFonts w:ascii="Times New Roman" w:hAnsi="Times New Roman"/>
          <w:b/>
          <w:color w:val="000000" w:themeColor="text1"/>
          <w:sz w:val="24"/>
          <w:szCs w:val="24"/>
        </w:rPr>
      </w:pPr>
      <w:r>
        <w:rPr>
          <w:rFonts w:hint="eastAsia" w:ascii="Times New Roman" w:hAnsi="Times New Roman"/>
          <w:b/>
          <w:color w:val="000000" w:themeColor="text1"/>
          <w:sz w:val="24"/>
          <w:szCs w:val="24"/>
        </w:rPr>
        <w:t>附图5：汕尾市大气环境质量功能区划图</w:t>
      </w:r>
    </w:p>
    <w:p>
      <w:pPr>
        <w:jc w:val="center"/>
        <w:outlineLvl w:val="0"/>
        <w:rPr>
          <w:rFonts w:ascii="Times New Roman" w:hAnsi="Times New Roman"/>
          <w:b/>
          <w:color w:val="FF0000"/>
          <w:szCs w:val="21"/>
        </w:rPr>
      </w:pPr>
    </w:p>
    <w:p>
      <w:pPr>
        <w:jc w:val="left"/>
        <w:outlineLvl w:val="0"/>
        <w:rPr>
          <w:rFonts w:ascii="Times New Roman" w:hAnsi="Times New Roman"/>
          <w:b/>
          <w:color w:val="FF0000"/>
          <w:szCs w:val="21"/>
        </w:rPr>
        <w:sectPr>
          <w:pgSz w:w="16838" w:h="11906" w:orient="landscape"/>
          <w:pgMar w:top="1797" w:right="1440" w:bottom="1531" w:left="1440" w:header="851" w:footer="992" w:gutter="57"/>
          <w:cols w:space="720" w:num="1"/>
          <w:docGrid w:type="lines" w:linePitch="312" w:charSpace="0"/>
        </w:sectPr>
      </w:pPr>
    </w:p>
    <w:p>
      <w:pPr>
        <w:jc w:val="center"/>
        <w:rPr>
          <w:rFonts w:ascii="Times New Roman" w:hAnsi="宋体"/>
          <w:b/>
          <w:color w:val="FF0000"/>
          <w:szCs w:val="21"/>
        </w:rPr>
      </w:pPr>
    </w:p>
    <w:p>
      <w:pPr>
        <w:jc w:val="center"/>
        <w:rPr>
          <w:rFonts w:ascii="Times New Roman" w:hAnsi="宋体"/>
          <w:b/>
          <w:color w:val="FF0000"/>
          <w:szCs w:val="21"/>
        </w:rPr>
      </w:pPr>
    </w:p>
    <w:p>
      <w:pPr>
        <w:jc w:val="center"/>
        <w:rPr>
          <w:rFonts w:ascii="Times New Roman" w:hAnsi="宋体"/>
          <w:b/>
          <w:color w:val="FF0000"/>
          <w:szCs w:val="21"/>
        </w:rPr>
      </w:pPr>
    </w:p>
    <w:p>
      <w:pPr>
        <w:jc w:val="center"/>
        <w:rPr>
          <w:rFonts w:ascii="Times New Roman" w:hAnsi="宋体"/>
          <w:b/>
          <w:color w:val="FF0000"/>
          <w:szCs w:val="21"/>
        </w:rPr>
      </w:pPr>
      <w:r>
        <w:object>
          <v:shape id="_x0000_i1038" o:spt="75" type="#_x0000_t75" style="height:278.25pt;width:500.25pt;" o:ole="t" filled="f" o:preferrelative="t" stroked="f" coordsize="21600,21600">
            <v:path/>
            <v:fill on="f" focussize="0,0"/>
            <v:stroke on="f" joinstyle="miter"/>
            <v:imagedata r:id="rId28" o:title=""/>
            <o:lock v:ext="edit" aspectratio="t"/>
            <w10:wrap type="none"/>
            <w10:anchorlock/>
          </v:shape>
          <o:OLEObject Type="Embed" ProgID="Visio.Drawing.11" ShapeID="_x0000_i1038" DrawAspect="Content" ObjectID="_1468075726" r:id="rId27">
            <o:LockedField>false</o:LockedField>
          </o:OLEObject>
        </w:object>
      </w:r>
    </w:p>
    <w:p>
      <w:pPr>
        <w:jc w:val="center"/>
        <w:rPr>
          <w:rFonts w:ascii="Times New Roman" w:hAnsi="宋体"/>
          <w:b/>
          <w:color w:val="000000" w:themeColor="text1"/>
          <w:szCs w:val="21"/>
        </w:rPr>
      </w:pPr>
      <w:r>
        <w:rPr>
          <w:rFonts w:hint="eastAsia" w:ascii="Times New Roman" w:hAnsi="宋体"/>
          <w:b/>
          <w:color w:val="000000" w:themeColor="text1"/>
          <w:szCs w:val="21"/>
        </w:rPr>
        <w:t>附图6：总平面布置图</w:t>
      </w:r>
    </w:p>
    <w:p>
      <w:pPr>
        <w:jc w:val="center"/>
        <w:rPr>
          <w:rFonts w:ascii="Times New Roman" w:hAnsi="宋体"/>
          <w:b/>
          <w:color w:val="FF0000"/>
          <w:szCs w:val="21"/>
        </w:rPr>
      </w:pPr>
    </w:p>
    <w:p>
      <w:pPr>
        <w:rPr>
          <w:rFonts w:ascii="Times New Roman" w:hAnsi="宋体"/>
          <w:b/>
          <w:color w:val="FF0000"/>
          <w:szCs w:val="21"/>
        </w:rPr>
        <w:sectPr>
          <w:footerReference r:id="rId9" w:type="default"/>
          <w:pgSz w:w="16838" w:h="11906" w:orient="landscape"/>
          <w:pgMar w:top="1134" w:right="1440" w:bottom="1134" w:left="1440" w:header="851" w:footer="992" w:gutter="57"/>
          <w:cols w:space="720" w:num="1"/>
          <w:docGrid w:linePitch="312" w:charSpace="0"/>
        </w:sectPr>
      </w:pPr>
    </w:p>
    <w:p>
      <w:pPr>
        <w:rPr>
          <w:rFonts w:ascii="Times New Roman" w:hAnsi="宋体"/>
          <w:b/>
          <w:color w:val="FF0000"/>
          <w:szCs w:val="21"/>
        </w:rPr>
      </w:pPr>
      <w:r>
        <w:rPr>
          <w:rFonts w:ascii="Times New Roman" w:hAnsi="宋体"/>
          <w:b/>
          <w:color w:val="FF0000"/>
          <w:szCs w:val="21"/>
        </w:rPr>
        <w:pict>
          <v:shape id="_x0000_i1039" o:spt="75" type="#_x0000_t75" style="height:604.5pt;width:453.75pt;" filled="f" o:preferrelative="t" stroked="f" coordsize="21600,21600">
            <v:path/>
            <v:fill on="f" focussize="0,0"/>
            <v:stroke on="f" joinstyle="miter"/>
            <v:imagedata r:id="rId29" o:title="D0F3D32646CC7600F2C3D26352F8F8A9"/>
            <o:lock v:ext="edit" aspectratio="t"/>
            <w10:wrap type="none"/>
            <w10:anchorlock/>
          </v:shape>
        </w:pict>
      </w:r>
    </w:p>
    <w:p>
      <w:pPr>
        <w:jc w:val="center"/>
        <w:rPr>
          <w:rFonts w:ascii="Times New Roman" w:hAnsi="宋体"/>
          <w:b/>
          <w:color w:val="000000" w:themeColor="text1"/>
          <w:szCs w:val="21"/>
        </w:rPr>
      </w:pPr>
      <w:r>
        <w:rPr>
          <w:rFonts w:hint="eastAsia" w:ascii="Times New Roman" w:hAnsi="宋体"/>
          <w:b/>
          <w:color w:val="000000" w:themeColor="text1"/>
          <w:szCs w:val="21"/>
        </w:rPr>
        <w:t>附图7：项目红线范围图</w:t>
      </w:r>
    </w:p>
    <w:p>
      <w:pPr>
        <w:rPr>
          <w:rFonts w:ascii="Times New Roman" w:hAnsi="宋体"/>
          <w:b/>
          <w:color w:val="FF0000"/>
          <w:szCs w:val="21"/>
        </w:rPr>
      </w:pPr>
    </w:p>
    <w:p>
      <w:pPr>
        <w:rPr>
          <w:rFonts w:ascii="Times New Roman" w:hAnsi="宋体"/>
          <w:b/>
          <w:color w:val="FF0000"/>
          <w:szCs w:val="21"/>
        </w:rPr>
      </w:pPr>
    </w:p>
    <w:p>
      <w:pPr>
        <w:rPr>
          <w:rFonts w:ascii="Times New Roman" w:hAnsi="宋体"/>
          <w:b/>
          <w:color w:val="FF0000"/>
          <w:szCs w:val="21"/>
        </w:rPr>
      </w:pPr>
    </w:p>
    <w:p>
      <w:pPr>
        <w:rPr>
          <w:rFonts w:ascii="Times New Roman" w:hAnsi="宋体"/>
          <w:b/>
          <w:color w:val="FF0000"/>
          <w:szCs w:val="21"/>
        </w:rPr>
      </w:pPr>
    </w:p>
    <w:p>
      <w:pPr>
        <w:rPr>
          <w:rFonts w:ascii="Times New Roman" w:hAnsi="宋体"/>
          <w:b/>
          <w:color w:val="FF0000"/>
          <w:szCs w:val="21"/>
        </w:rPr>
      </w:pPr>
    </w:p>
    <w:p>
      <w:pPr>
        <w:rPr>
          <w:rFonts w:ascii="Times New Roman" w:hAnsi="宋体"/>
          <w:b/>
          <w:color w:val="FF0000"/>
          <w:szCs w:val="21"/>
        </w:rPr>
      </w:pPr>
    </w:p>
    <w:p>
      <w:pPr>
        <w:rPr>
          <w:rFonts w:ascii="Times New Roman" w:hAnsi="宋体"/>
          <w:b/>
          <w:color w:val="000000" w:themeColor="text1"/>
          <w:szCs w:val="21"/>
        </w:rPr>
      </w:pPr>
      <w:r>
        <w:rPr>
          <w:rFonts w:ascii="Times New Roman" w:hAnsi="宋体"/>
          <w:b/>
          <w:color w:val="000000" w:themeColor="text1"/>
          <w:szCs w:val="21"/>
        </w:rPr>
        <w:t>附件</w:t>
      </w:r>
      <w:r>
        <w:rPr>
          <w:rFonts w:hint="eastAsia" w:ascii="Times New Roman" w:hAnsi="宋体"/>
          <w:b/>
          <w:color w:val="000000" w:themeColor="text1"/>
          <w:szCs w:val="21"/>
        </w:rPr>
        <w:t>1：营业执照</w:t>
      </w:r>
    </w:p>
    <w:p>
      <w:pPr>
        <w:rPr>
          <w:rFonts w:ascii="Times New Roman" w:hAnsi="Times New Roman"/>
          <w:b/>
          <w:color w:val="FF0000"/>
          <w:szCs w:val="21"/>
        </w:rPr>
      </w:pPr>
      <w:r>
        <w:rPr>
          <w:rFonts w:ascii="Times New Roman" w:hAnsi="Times New Roman"/>
          <w:b/>
          <w:color w:val="FF0000"/>
          <w:szCs w:val="21"/>
        </w:rPr>
        <w:pict>
          <v:shape id="_x0000_i1040" o:spt="75" type="#_x0000_t75" style="height:640.5pt;width:453.75pt;" filled="f" o:preferrelative="t" stroked="f" coordsize="21600,21600">
            <v:path/>
            <v:fill on="f" focussize="0,0"/>
            <v:stroke on="f" joinstyle="miter"/>
            <v:imagedata r:id="rId30" o:title="Scan0003"/>
            <o:lock v:ext="edit" aspectratio="t"/>
            <w10:wrap type="none"/>
            <w10:anchorlock/>
          </v:shape>
        </w:pict>
      </w:r>
    </w:p>
    <w:p>
      <w:pPr>
        <w:rPr>
          <w:rFonts w:ascii="Times New Roman" w:hAnsi="Times New Roman"/>
          <w:b/>
          <w:color w:val="FF0000"/>
          <w:szCs w:val="21"/>
        </w:rPr>
      </w:pPr>
    </w:p>
    <w:p>
      <w:pPr>
        <w:rPr>
          <w:rFonts w:ascii="Times New Roman" w:hAnsi="Times New Roman"/>
          <w:b/>
          <w:color w:val="FF0000"/>
          <w:szCs w:val="21"/>
        </w:rPr>
      </w:pPr>
    </w:p>
    <w:p>
      <w:pPr>
        <w:rPr>
          <w:rFonts w:ascii="Times New Roman" w:hAnsi="Times New Roman"/>
          <w:b/>
          <w:color w:val="FF0000"/>
          <w:szCs w:val="21"/>
        </w:rPr>
      </w:pPr>
    </w:p>
    <w:p>
      <w:pPr>
        <w:rPr>
          <w:rFonts w:ascii="Times New Roman" w:hAnsi="宋体"/>
          <w:b/>
          <w:color w:val="000000" w:themeColor="text1"/>
          <w:szCs w:val="21"/>
        </w:rPr>
      </w:pPr>
      <w:r>
        <w:rPr>
          <w:rFonts w:ascii="Times New Roman" w:hAnsi="宋体"/>
          <w:b/>
          <w:color w:val="000000" w:themeColor="text1"/>
          <w:szCs w:val="21"/>
        </w:rPr>
        <w:t>附件</w:t>
      </w:r>
      <w:r>
        <w:rPr>
          <w:rFonts w:hint="eastAsia" w:ascii="Times New Roman" w:hAnsi="宋体"/>
          <w:b/>
          <w:color w:val="000000" w:themeColor="text1"/>
          <w:szCs w:val="21"/>
        </w:rPr>
        <w:t>2：土地租赁合同</w:t>
      </w:r>
    </w:p>
    <w:p>
      <w:pPr>
        <w:rPr>
          <w:rFonts w:ascii="Times New Roman" w:hAnsi="Times New Roman"/>
          <w:b/>
          <w:color w:val="FF0000"/>
          <w:szCs w:val="21"/>
        </w:rPr>
      </w:pPr>
      <w:r>
        <w:rPr>
          <w:rFonts w:ascii="Times New Roman" w:hAnsi="Times New Roman"/>
          <w:b/>
          <w:color w:val="FF0000"/>
          <w:szCs w:val="21"/>
        </w:rPr>
        <w:pict>
          <v:shape id="_x0000_i1041" o:spt="75" type="#_x0000_t75" style="height:640.5pt;width:453.75pt;" filled="f" o:preferrelative="t" stroked="f" coordsize="21600,21600">
            <v:path/>
            <v:fill on="f" focussize="0,0"/>
            <v:stroke on="f" joinstyle="miter"/>
            <v:imagedata r:id="rId31" o:title="Scan0001"/>
            <o:lock v:ext="edit" aspectratio="t"/>
            <w10:wrap type="none"/>
            <w10:anchorlock/>
          </v:shape>
        </w:pict>
      </w:r>
    </w:p>
    <w:p>
      <w:pPr>
        <w:rPr>
          <w:rFonts w:ascii="Times New Roman" w:hAnsi="Times New Roman"/>
          <w:b/>
          <w:color w:val="FF0000"/>
          <w:szCs w:val="21"/>
        </w:rPr>
      </w:pPr>
    </w:p>
    <w:p>
      <w:pPr>
        <w:rPr>
          <w:rFonts w:ascii="Times New Roman" w:hAnsi="Times New Roman"/>
          <w:b/>
          <w:color w:val="FF0000"/>
          <w:szCs w:val="21"/>
        </w:rPr>
      </w:pPr>
    </w:p>
    <w:p>
      <w:pPr>
        <w:rPr>
          <w:rFonts w:ascii="Times New Roman" w:hAnsi="Times New Roman"/>
          <w:b/>
          <w:color w:val="FF0000"/>
          <w:szCs w:val="21"/>
        </w:rPr>
      </w:pPr>
    </w:p>
    <w:p>
      <w:pPr>
        <w:rPr>
          <w:rFonts w:ascii="Times New Roman" w:hAnsi="Times New Roman"/>
          <w:b/>
          <w:color w:val="FF0000"/>
          <w:szCs w:val="21"/>
        </w:rPr>
      </w:pPr>
      <w:r>
        <w:rPr>
          <w:rFonts w:ascii="Times New Roman" w:hAnsi="Times New Roman"/>
          <w:b/>
          <w:color w:val="FF0000"/>
          <w:szCs w:val="21"/>
        </w:rPr>
        <w:pict>
          <v:shape id="_x0000_i1042" o:spt="75" type="#_x0000_t75" style="height:639.75pt;width:453.75pt;" filled="f" o:preferrelative="t" stroked="f" coordsize="21600,21600">
            <v:path/>
            <v:fill on="f" focussize="0,0"/>
            <v:stroke on="f" joinstyle="miter"/>
            <v:imagedata r:id="rId32" o:title="Scan"/>
            <o:lock v:ext="edit" aspectratio="t"/>
            <w10:wrap type="none"/>
            <w10:anchorlock/>
          </v:shape>
        </w:pict>
      </w:r>
    </w:p>
    <w:p>
      <w:pPr>
        <w:rPr>
          <w:rFonts w:ascii="Times New Roman" w:hAnsi="Times New Roman"/>
          <w:b/>
          <w:color w:val="FF0000"/>
          <w:szCs w:val="21"/>
        </w:rPr>
      </w:pPr>
    </w:p>
    <w:p>
      <w:pPr>
        <w:rPr>
          <w:rFonts w:ascii="Times New Roman" w:hAnsi="Times New Roman"/>
          <w:b/>
          <w:color w:val="FF0000"/>
          <w:szCs w:val="21"/>
        </w:rPr>
      </w:pPr>
    </w:p>
    <w:p>
      <w:pPr>
        <w:rPr>
          <w:rFonts w:ascii="Times New Roman" w:hAnsi="Times New Roman"/>
          <w:b/>
          <w:color w:val="FF0000"/>
          <w:szCs w:val="21"/>
        </w:rPr>
      </w:pPr>
    </w:p>
    <w:p>
      <w:pPr>
        <w:rPr>
          <w:rFonts w:ascii="Times New Roman" w:hAnsi="Times New Roman"/>
          <w:b/>
          <w:color w:val="FF0000"/>
          <w:szCs w:val="21"/>
        </w:rPr>
      </w:pPr>
    </w:p>
    <w:p>
      <w:pPr>
        <w:rPr>
          <w:rFonts w:ascii="Times New Roman" w:hAnsi="Times New Roman"/>
          <w:b/>
          <w:color w:val="000000" w:themeColor="text1"/>
          <w:szCs w:val="21"/>
        </w:rPr>
      </w:pPr>
      <w:r>
        <w:rPr>
          <w:rFonts w:hint="eastAsia" w:ascii="Times New Roman" w:hAnsi="Times New Roman"/>
          <w:b/>
          <w:color w:val="000000" w:themeColor="text1"/>
          <w:szCs w:val="21"/>
        </w:rPr>
        <w:t>附件3：临时工程许可证</w:t>
      </w:r>
    </w:p>
    <w:p>
      <w:pPr>
        <w:rPr>
          <w:rFonts w:ascii="Times New Roman" w:hAnsi="Times New Roman"/>
          <w:b/>
          <w:color w:val="FF0000"/>
          <w:szCs w:val="21"/>
        </w:rPr>
      </w:pPr>
      <w:r>
        <w:rPr>
          <w:rFonts w:ascii="Times New Roman" w:hAnsi="Times New Roman"/>
          <w:b/>
          <w:color w:val="FF0000"/>
          <w:szCs w:val="21"/>
        </w:rPr>
        <w:pict>
          <v:shape id="_x0000_i1043" o:spt="75" type="#_x0000_t75" style="height:604.5pt;width:453.75pt;" filled="f" o:preferrelative="t" stroked="f" coordsize="21600,21600">
            <v:path/>
            <v:fill on="f" focussize="0,0"/>
            <v:stroke on="f" joinstyle="miter"/>
            <v:imagedata r:id="rId33" o:title="A20EF788FFFBDA3E99D51FC931B35568"/>
            <o:lock v:ext="edit" aspectratio="t"/>
            <w10:wrap type="none"/>
            <w10:anchorlock/>
          </v:shape>
        </w:pict>
      </w:r>
    </w:p>
    <w:p>
      <w:pPr>
        <w:rPr>
          <w:rFonts w:ascii="Times New Roman" w:hAnsi="Times New Roman"/>
          <w:b/>
          <w:color w:val="FF0000"/>
          <w:szCs w:val="21"/>
        </w:rPr>
      </w:pPr>
    </w:p>
    <w:p>
      <w:pPr>
        <w:rPr>
          <w:rFonts w:ascii="Times New Roman" w:hAnsi="Times New Roman"/>
          <w:b/>
          <w:color w:val="FF0000"/>
          <w:szCs w:val="21"/>
        </w:rPr>
      </w:pPr>
    </w:p>
    <w:p>
      <w:pPr>
        <w:rPr>
          <w:rFonts w:ascii="Times New Roman" w:hAnsi="Times New Roman"/>
          <w:b/>
          <w:color w:val="FF0000"/>
          <w:szCs w:val="21"/>
        </w:rPr>
      </w:pPr>
    </w:p>
    <w:p>
      <w:pPr>
        <w:rPr>
          <w:rFonts w:ascii="Times New Roman" w:hAnsi="Times New Roman"/>
          <w:b/>
          <w:color w:val="FF0000"/>
          <w:szCs w:val="21"/>
        </w:rPr>
      </w:pPr>
    </w:p>
    <w:p>
      <w:pPr>
        <w:rPr>
          <w:rFonts w:ascii="Times New Roman" w:hAnsi="Times New Roman"/>
          <w:b/>
          <w:color w:val="FF0000"/>
          <w:szCs w:val="21"/>
        </w:rPr>
        <w:sectPr>
          <w:pgSz w:w="11906" w:h="16838"/>
          <w:pgMar w:top="1440" w:right="1134" w:bottom="1440" w:left="1134" w:header="851" w:footer="992" w:gutter="57"/>
          <w:cols w:space="720" w:num="1"/>
          <w:docGrid w:linePitch="312" w:charSpace="0"/>
        </w:sectPr>
      </w:pPr>
    </w:p>
    <w:p>
      <w:pPr>
        <w:kinsoku w:val="0"/>
        <w:overflowPunct w:val="0"/>
        <w:autoSpaceDE w:val="0"/>
        <w:autoSpaceDN w:val="0"/>
        <w:adjustRightInd w:val="0"/>
        <w:snapToGrid w:val="0"/>
        <w:spacing w:line="300" w:lineRule="auto"/>
        <w:jc w:val="center"/>
        <w:outlineLvl w:val="0"/>
        <w:rPr>
          <w:rFonts w:ascii="Times New Roman" w:hAnsi="Times New Roman"/>
          <w:b/>
          <w:color w:val="000000" w:themeColor="text1"/>
          <w:sz w:val="36"/>
        </w:rPr>
      </w:pPr>
      <w:r>
        <w:rPr>
          <w:rFonts w:ascii="Times New Roman" w:hAnsi="宋体"/>
          <w:b/>
          <w:color w:val="000000" w:themeColor="text1"/>
          <w:sz w:val="36"/>
        </w:rPr>
        <w:t>建设项目环境保护审批登记表</w:t>
      </w:r>
    </w:p>
    <w:p>
      <w:pPr>
        <w:spacing w:line="240" w:lineRule="exact"/>
        <w:ind w:firstLine="180" w:firstLineChars="100"/>
        <w:rPr>
          <w:rFonts w:ascii="Times New Roman" w:hAnsi="Times New Roman"/>
          <w:color w:val="000000" w:themeColor="text1"/>
          <w:sz w:val="18"/>
          <w:szCs w:val="18"/>
        </w:rPr>
      </w:pPr>
      <w:r>
        <w:rPr>
          <w:rFonts w:ascii="Times New Roman" w:hAnsi="宋体"/>
          <w:color w:val="000000" w:themeColor="text1"/>
          <w:sz w:val="18"/>
          <w:szCs w:val="18"/>
        </w:rPr>
        <w:t>填表单位（盖章）：</w:t>
      </w:r>
      <w:r>
        <w:rPr>
          <w:rFonts w:hint="eastAsia" w:ascii="Times New Roman" w:hAnsi="宋体"/>
          <w:color w:val="000000" w:themeColor="text1"/>
          <w:sz w:val="18"/>
          <w:szCs w:val="18"/>
        </w:rPr>
        <w:t xml:space="preserve">      </w:t>
      </w:r>
      <w:r>
        <w:rPr>
          <w:rFonts w:ascii="Times New Roman" w:hAnsi="Times New Roman"/>
          <w:color w:val="000000" w:themeColor="text1"/>
          <w:sz w:val="18"/>
          <w:szCs w:val="18"/>
        </w:rPr>
        <w:t xml:space="preserve">              </w:t>
      </w:r>
      <w:r>
        <w:rPr>
          <w:rFonts w:ascii="Times New Roman" w:hAnsi="宋体"/>
          <w:color w:val="000000" w:themeColor="text1"/>
          <w:sz w:val="18"/>
          <w:szCs w:val="18"/>
        </w:rPr>
        <w:t>填表人（签字）：</w:t>
      </w:r>
      <w:r>
        <w:rPr>
          <w:rFonts w:ascii="Times New Roman" w:hAnsi="Times New Roman"/>
          <w:color w:val="000000" w:themeColor="text1"/>
          <w:sz w:val="18"/>
          <w:szCs w:val="18"/>
        </w:rPr>
        <w:t xml:space="preserve">                         </w:t>
      </w:r>
      <w:r>
        <w:rPr>
          <w:rFonts w:ascii="Times New Roman" w:hAnsi="宋体"/>
          <w:color w:val="000000" w:themeColor="text1"/>
          <w:sz w:val="18"/>
          <w:szCs w:val="18"/>
        </w:rPr>
        <w:t>项目经办人（签字）：</w:t>
      </w:r>
      <w:r>
        <w:rPr>
          <w:rFonts w:ascii="Times New Roman" w:hAnsi="Times New Roman"/>
          <w:color w:val="000000" w:themeColor="text1"/>
          <w:sz w:val="18"/>
          <w:szCs w:val="18"/>
        </w:rPr>
        <w:t xml:space="preserve">        </w:t>
      </w:r>
      <w:r>
        <w:rPr>
          <w:rFonts w:hint="eastAsia" w:ascii="Times New Roman" w:hAnsi="宋体"/>
          <w:bCs/>
          <w:color w:val="000000" w:themeColor="text1"/>
          <w:sz w:val="18"/>
          <w:szCs w:val="18"/>
        </w:rPr>
        <w:t xml:space="preserve">  </w:t>
      </w:r>
    </w:p>
    <w:tbl>
      <w:tblPr>
        <w:tblStyle w:val="27"/>
        <w:tblW w:w="154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487"/>
        <w:gridCol w:w="652"/>
        <w:gridCol w:w="612"/>
        <w:gridCol w:w="644"/>
        <w:gridCol w:w="14"/>
        <w:gridCol w:w="995"/>
        <w:gridCol w:w="234"/>
        <w:gridCol w:w="710"/>
        <w:gridCol w:w="153"/>
        <w:gridCol w:w="8"/>
        <w:gridCol w:w="602"/>
        <w:gridCol w:w="497"/>
        <w:gridCol w:w="97"/>
        <w:gridCol w:w="8"/>
        <w:gridCol w:w="535"/>
        <w:gridCol w:w="101"/>
        <w:gridCol w:w="8"/>
        <w:gridCol w:w="611"/>
        <w:gridCol w:w="330"/>
        <w:gridCol w:w="333"/>
        <w:gridCol w:w="9"/>
        <w:gridCol w:w="823"/>
        <w:gridCol w:w="770"/>
        <w:gridCol w:w="801"/>
        <w:gridCol w:w="450"/>
        <w:gridCol w:w="283"/>
        <w:gridCol w:w="1041"/>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restart"/>
            <w:textDirection w:val="tbRlV"/>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设</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项</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目</w:t>
            </w:r>
          </w:p>
        </w:tc>
        <w:tc>
          <w:tcPr>
            <w:tcW w:w="1487" w:type="dxa"/>
            <w:vAlign w:val="center"/>
          </w:tcPr>
          <w:p>
            <w:pPr>
              <w:kinsoku w:val="0"/>
              <w:overflowPunct w:val="0"/>
              <w:autoSpaceDE w:val="0"/>
              <w:autoSpaceDN w:val="0"/>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项</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目</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名</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称</w:t>
            </w:r>
          </w:p>
        </w:tc>
        <w:tc>
          <w:tcPr>
            <w:tcW w:w="5121" w:type="dxa"/>
            <w:gridSpan w:val="11"/>
            <w:vAlign w:val="center"/>
          </w:tcPr>
          <w:p>
            <w:pPr>
              <w:spacing w:line="216" w:lineRule="auto"/>
              <w:jc w:val="center"/>
              <w:rPr>
                <w:rFonts w:ascii="Times New Roman" w:hAnsi="Times New Roman"/>
                <w:bCs/>
                <w:color w:val="000000" w:themeColor="text1"/>
                <w:sz w:val="18"/>
                <w:szCs w:val="18"/>
              </w:rPr>
            </w:pPr>
            <w:r>
              <w:rPr>
                <w:rFonts w:ascii="Times New Roman" w:hAnsi="宋体"/>
                <w:color w:val="000000" w:themeColor="text1"/>
                <w:sz w:val="18"/>
                <w:szCs w:val="18"/>
              </w:rPr>
              <w:t>汕尾市红海湾佳龙</w:t>
            </w:r>
            <w:r>
              <w:rPr>
                <w:rFonts w:hint="eastAsia" w:ascii="Times New Roman" w:hAnsi="宋体"/>
                <w:color w:val="000000" w:themeColor="text1"/>
                <w:sz w:val="18"/>
                <w:szCs w:val="18"/>
                <w:lang w:eastAsia="zh-CN"/>
              </w:rPr>
              <w:t>混凝土</w:t>
            </w:r>
            <w:r>
              <w:rPr>
                <w:rFonts w:ascii="Times New Roman" w:hAnsi="宋体"/>
                <w:color w:val="000000" w:themeColor="text1"/>
                <w:sz w:val="18"/>
                <w:szCs w:val="18"/>
              </w:rPr>
              <w:t>有限公司新建项目</w:t>
            </w:r>
          </w:p>
        </w:tc>
        <w:tc>
          <w:tcPr>
            <w:tcW w:w="1690" w:type="dxa"/>
            <w:gridSpan w:val="7"/>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建设地点</w:t>
            </w:r>
          </w:p>
        </w:tc>
        <w:tc>
          <w:tcPr>
            <w:tcW w:w="6166" w:type="dxa"/>
            <w:gridSpan w:val="9"/>
            <w:vAlign w:val="center"/>
          </w:tcPr>
          <w:p>
            <w:pPr>
              <w:jc w:val="center"/>
              <w:rPr>
                <w:rFonts w:ascii="Times New Roman" w:hAnsi="Times New Roman"/>
                <w:color w:val="000000" w:themeColor="text1"/>
                <w:sz w:val="18"/>
                <w:szCs w:val="18"/>
              </w:rPr>
            </w:pPr>
            <w:r>
              <w:rPr>
                <w:rFonts w:hint="eastAsia" w:ascii="Times New Roman" w:hAnsi="宋体"/>
                <w:color w:val="000000" w:themeColor="text1"/>
                <w:sz w:val="18"/>
                <w:szCs w:val="18"/>
              </w:rPr>
              <w:t>汕尾市</w:t>
            </w:r>
            <w:r>
              <w:rPr>
                <w:rFonts w:ascii="Times New Roman" w:hAnsi="宋体"/>
                <w:color w:val="000000" w:themeColor="text1"/>
                <w:sz w:val="18"/>
                <w:szCs w:val="18"/>
              </w:rPr>
              <w:t>红海湾开发区田墘街道石新村委小马巷村后面荒山坡地</w:t>
            </w:r>
            <w:r>
              <w:rPr>
                <w:rFonts w:hint="eastAsia" w:ascii="Times New Roman" w:hAnsi="宋体"/>
                <w:color w:val="000000" w:themeColor="text1"/>
                <w:sz w:val="18"/>
                <w:szCs w:val="18"/>
              </w:rPr>
              <w:t>，</w:t>
            </w:r>
            <w:r>
              <w:rPr>
                <w:rFonts w:ascii="Times New Roman" w:hAnsi="宋体"/>
                <w:color w:val="000000" w:themeColor="text1"/>
                <w:sz w:val="18"/>
                <w:szCs w:val="18"/>
              </w:rPr>
              <w:t>与捷胜镇北门村委交界处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rPr>
                <w:rFonts w:ascii="Times New Roman" w:hAnsi="Times New Roman"/>
                <w:color w:val="000000" w:themeColor="text1"/>
                <w:sz w:val="18"/>
                <w:szCs w:val="18"/>
              </w:rPr>
            </w:pPr>
            <w:r>
              <w:rPr>
                <w:rFonts w:ascii="Times New Roman" w:hAnsi="宋体"/>
                <w:color w:val="000000" w:themeColor="text1"/>
                <w:sz w:val="18"/>
                <w:szCs w:val="18"/>
              </w:rPr>
              <w:t>建设内容及规模</w:t>
            </w:r>
          </w:p>
        </w:tc>
        <w:tc>
          <w:tcPr>
            <w:tcW w:w="5121" w:type="dxa"/>
            <w:gridSpan w:val="11"/>
            <w:vAlign w:val="center"/>
          </w:tcPr>
          <w:p>
            <w:pPr>
              <w:spacing w:line="216" w:lineRule="auto"/>
              <w:jc w:val="center"/>
              <w:rPr>
                <w:rFonts w:ascii="Times New Roman" w:hAnsi="Times New Roman"/>
                <w:bCs/>
                <w:color w:val="000000" w:themeColor="text1"/>
                <w:sz w:val="18"/>
                <w:szCs w:val="18"/>
              </w:rPr>
            </w:pPr>
            <w:r>
              <w:rPr>
                <w:rFonts w:hint="eastAsia" w:ascii="Times New Roman" w:hAnsi="宋体"/>
                <w:bCs/>
                <w:color w:val="000000" w:themeColor="text1"/>
                <w:sz w:val="18"/>
                <w:szCs w:val="18"/>
              </w:rPr>
              <w:t>占地面积8000平方米，从事商品</w:t>
            </w:r>
            <w:r>
              <w:rPr>
                <w:rFonts w:hint="eastAsia" w:ascii="Times New Roman" w:hAnsi="宋体"/>
                <w:bCs/>
                <w:color w:val="000000" w:themeColor="text1"/>
                <w:sz w:val="18"/>
                <w:szCs w:val="18"/>
                <w:lang w:eastAsia="zh-CN"/>
              </w:rPr>
              <w:t>混凝土</w:t>
            </w:r>
            <w:r>
              <w:rPr>
                <w:rFonts w:hint="eastAsia" w:ascii="Times New Roman" w:hAnsi="宋体"/>
                <w:bCs/>
                <w:color w:val="000000" w:themeColor="text1"/>
                <w:sz w:val="18"/>
                <w:szCs w:val="18"/>
              </w:rPr>
              <w:t>、</w:t>
            </w:r>
            <w:r>
              <w:rPr>
                <w:rFonts w:hint="eastAsia" w:ascii="Times New Roman" w:hAnsi="宋体"/>
                <w:bCs/>
                <w:color w:val="000000" w:themeColor="text1"/>
                <w:sz w:val="18"/>
                <w:szCs w:val="18"/>
                <w:lang w:eastAsia="zh-CN"/>
              </w:rPr>
              <w:t>混凝土</w:t>
            </w:r>
            <w:r>
              <w:rPr>
                <w:rFonts w:hint="eastAsia" w:ascii="Times New Roman" w:hAnsi="宋体"/>
                <w:bCs/>
                <w:color w:val="000000" w:themeColor="text1"/>
                <w:sz w:val="18"/>
                <w:szCs w:val="18"/>
              </w:rPr>
              <w:t>预制件、预拌砂浆及水泥预制件的生产</w:t>
            </w:r>
          </w:p>
        </w:tc>
        <w:tc>
          <w:tcPr>
            <w:tcW w:w="1690" w:type="dxa"/>
            <w:gridSpan w:val="7"/>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建设性质</w:t>
            </w:r>
          </w:p>
        </w:tc>
        <w:tc>
          <w:tcPr>
            <w:tcW w:w="6166" w:type="dxa"/>
            <w:gridSpan w:val="9"/>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sym w:font="Wingdings" w:char="F0FE"/>
            </w:r>
            <w:r>
              <w:rPr>
                <w:rFonts w:ascii="Times New Roman" w:hAnsi="宋体"/>
                <w:bCs/>
                <w:color w:val="000000" w:themeColor="text1"/>
                <w:sz w:val="18"/>
                <w:szCs w:val="18"/>
              </w:rPr>
              <w:t>新</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迁建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改扩</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补</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办</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手</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行</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业</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类</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别</w:t>
            </w:r>
          </w:p>
        </w:tc>
        <w:tc>
          <w:tcPr>
            <w:tcW w:w="5121" w:type="dxa"/>
            <w:gridSpan w:val="11"/>
            <w:vAlign w:val="center"/>
          </w:tcPr>
          <w:p>
            <w:pPr>
              <w:jc w:val="center"/>
              <w:rPr>
                <w:rFonts w:ascii="Times New Roman" w:hAnsi="Times New Roman"/>
                <w:bCs/>
                <w:color w:val="000000" w:themeColor="text1"/>
                <w:sz w:val="18"/>
                <w:szCs w:val="18"/>
              </w:rPr>
            </w:pPr>
            <w:r>
              <w:rPr>
                <w:rFonts w:hint="eastAsia" w:ascii="Times New Roman" w:hAnsi="宋体"/>
                <w:bCs/>
                <w:color w:val="000000" w:themeColor="text1"/>
                <w:sz w:val="18"/>
                <w:szCs w:val="18"/>
              </w:rPr>
              <w:t>水泥制品制造C3021</w:t>
            </w:r>
          </w:p>
        </w:tc>
        <w:tc>
          <w:tcPr>
            <w:tcW w:w="1690" w:type="dxa"/>
            <w:gridSpan w:val="7"/>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环境保护管理类别</w:t>
            </w:r>
          </w:p>
        </w:tc>
        <w:tc>
          <w:tcPr>
            <w:tcW w:w="6166" w:type="dxa"/>
            <w:gridSpan w:val="9"/>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r>
              <w:rPr>
                <w:rFonts w:ascii="Times New Roman" w:hAnsi="宋体"/>
                <w:bCs/>
                <w:color w:val="000000" w:themeColor="text1"/>
                <w:sz w:val="18"/>
                <w:szCs w:val="18"/>
              </w:rPr>
              <w:t>编</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制</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报</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告</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书</w:t>
            </w:r>
            <w:r>
              <w:rPr>
                <w:rFonts w:ascii="Times New Roman" w:hAnsi="Times New Roman"/>
                <w:bCs/>
                <w:color w:val="000000" w:themeColor="text1"/>
                <w:sz w:val="18"/>
                <w:szCs w:val="18"/>
              </w:rPr>
              <w:t xml:space="preserve">         </w:t>
            </w:r>
            <w:r>
              <w:rPr>
                <w:rFonts w:ascii="Times New Roman" w:hAnsi="Times New Roman"/>
                <w:bCs/>
                <w:color w:val="000000" w:themeColor="text1"/>
                <w:sz w:val="18"/>
                <w:szCs w:val="18"/>
              </w:rPr>
              <w:sym w:font="Wingdings" w:char="F0FE"/>
            </w:r>
            <w:r>
              <w:rPr>
                <w:rFonts w:ascii="Times New Roman" w:hAnsi="宋体"/>
                <w:bCs/>
                <w:color w:val="000000" w:themeColor="text1"/>
                <w:sz w:val="18"/>
                <w:szCs w:val="18"/>
              </w:rPr>
              <w:t>编</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制</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报</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告</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表</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填</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报</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登</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记</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highlight w:val="yellow"/>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总投资（万元）</w:t>
            </w:r>
          </w:p>
        </w:tc>
        <w:tc>
          <w:tcPr>
            <w:tcW w:w="5121" w:type="dxa"/>
            <w:gridSpan w:val="11"/>
            <w:vAlign w:val="center"/>
          </w:tcPr>
          <w:p>
            <w:pPr>
              <w:jc w:val="center"/>
              <w:rPr>
                <w:rFonts w:ascii="Times New Roman" w:hAnsi="Times New Roman"/>
                <w:bCs/>
                <w:color w:val="000000" w:themeColor="text1"/>
                <w:sz w:val="18"/>
                <w:szCs w:val="18"/>
              </w:rPr>
            </w:pPr>
            <w:r>
              <w:rPr>
                <w:rFonts w:hint="eastAsia" w:ascii="Times New Roman" w:hAnsi="Times New Roman"/>
                <w:bCs/>
                <w:color w:val="000000" w:themeColor="text1"/>
                <w:sz w:val="18"/>
                <w:szCs w:val="18"/>
              </w:rPr>
              <w:t>2500</w:t>
            </w:r>
          </w:p>
        </w:tc>
        <w:tc>
          <w:tcPr>
            <w:tcW w:w="1690" w:type="dxa"/>
            <w:gridSpan w:val="7"/>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环保投资（万元）</w:t>
            </w:r>
          </w:p>
        </w:tc>
        <w:tc>
          <w:tcPr>
            <w:tcW w:w="3186" w:type="dxa"/>
            <w:gridSpan w:val="6"/>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2</w:t>
            </w:r>
            <w:r>
              <w:rPr>
                <w:rFonts w:hint="eastAsia" w:ascii="Times New Roman" w:hAnsi="Times New Roman"/>
                <w:bCs/>
                <w:color w:val="000000" w:themeColor="text1"/>
                <w:sz w:val="18"/>
                <w:szCs w:val="18"/>
              </w:rPr>
              <w:t>5</w:t>
            </w:r>
            <w:r>
              <w:rPr>
                <w:rFonts w:ascii="Times New Roman" w:hAnsi="Times New Roman"/>
                <w:bCs/>
                <w:color w:val="000000" w:themeColor="text1"/>
                <w:sz w:val="18"/>
                <w:szCs w:val="18"/>
              </w:rPr>
              <w:t>0</w:t>
            </w:r>
          </w:p>
        </w:tc>
        <w:tc>
          <w:tcPr>
            <w:tcW w:w="1324" w:type="dxa"/>
            <w:gridSpan w:val="2"/>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所占比例（</w:t>
            </w:r>
            <w:r>
              <w:rPr>
                <w:rFonts w:ascii="Times New Roman" w:hAnsi="Times New Roman"/>
                <w:bCs/>
                <w:color w:val="000000" w:themeColor="text1"/>
                <w:sz w:val="18"/>
                <w:szCs w:val="18"/>
              </w:rPr>
              <w:t>%</w:t>
            </w:r>
            <w:r>
              <w:rPr>
                <w:rFonts w:ascii="Times New Roman" w:hAnsi="宋体"/>
                <w:bCs/>
                <w:color w:val="000000" w:themeColor="text1"/>
                <w:sz w:val="18"/>
                <w:szCs w:val="18"/>
              </w:rPr>
              <w:t>）</w:t>
            </w:r>
          </w:p>
        </w:tc>
        <w:tc>
          <w:tcPr>
            <w:tcW w:w="1656" w:type="dxa"/>
            <w:vAlign w:val="center"/>
          </w:tcPr>
          <w:p>
            <w:pPr>
              <w:jc w:val="center"/>
              <w:rPr>
                <w:rFonts w:ascii="Times New Roman" w:hAnsi="Times New Roman"/>
                <w:bCs/>
                <w:color w:val="000000" w:themeColor="text1"/>
                <w:sz w:val="18"/>
                <w:szCs w:val="18"/>
              </w:rPr>
            </w:pPr>
            <w:r>
              <w:rPr>
                <w:rFonts w:hint="eastAsia" w:ascii="Times New Roman" w:hAnsi="Times New Roman"/>
                <w:bCs/>
                <w:color w:val="000000" w:themeColor="text1"/>
                <w:sz w:val="18"/>
                <w:szCs w:val="18"/>
              </w:rPr>
              <w:t>10</w:t>
            </w:r>
            <w:r>
              <w:rPr>
                <w:rFonts w:ascii="Times New Roman" w:hAnsi="宋体"/>
                <w:bCs/>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highlight w:val="yellow"/>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立项部门</w:t>
            </w:r>
          </w:p>
        </w:tc>
        <w:tc>
          <w:tcPr>
            <w:tcW w:w="5121" w:type="dxa"/>
            <w:gridSpan w:val="11"/>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p>
        </w:tc>
        <w:tc>
          <w:tcPr>
            <w:tcW w:w="1690" w:type="dxa"/>
            <w:gridSpan w:val="7"/>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批准文号</w:t>
            </w:r>
          </w:p>
        </w:tc>
        <w:tc>
          <w:tcPr>
            <w:tcW w:w="3186" w:type="dxa"/>
            <w:gridSpan w:val="6"/>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p>
        </w:tc>
        <w:tc>
          <w:tcPr>
            <w:tcW w:w="1324" w:type="dxa"/>
            <w:gridSpan w:val="2"/>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立项时间</w:t>
            </w:r>
          </w:p>
        </w:tc>
        <w:tc>
          <w:tcPr>
            <w:tcW w:w="1656" w:type="dxa"/>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highlight w:val="yellow"/>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报告表审批部门</w:t>
            </w:r>
          </w:p>
        </w:tc>
        <w:tc>
          <w:tcPr>
            <w:tcW w:w="5121" w:type="dxa"/>
            <w:gridSpan w:val="11"/>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p>
        </w:tc>
        <w:tc>
          <w:tcPr>
            <w:tcW w:w="1690" w:type="dxa"/>
            <w:gridSpan w:val="7"/>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批准文号</w:t>
            </w:r>
          </w:p>
        </w:tc>
        <w:tc>
          <w:tcPr>
            <w:tcW w:w="3186" w:type="dxa"/>
            <w:gridSpan w:val="6"/>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p>
        </w:tc>
        <w:tc>
          <w:tcPr>
            <w:tcW w:w="1324" w:type="dxa"/>
            <w:gridSpan w:val="2"/>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批准时间</w:t>
            </w:r>
          </w:p>
        </w:tc>
        <w:tc>
          <w:tcPr>
            <w:tcW w:w="1656" w:type="dxa"/>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restart"/>
            <w:textDirection w:val="tbRlV"/>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建设单位</w:t>
            </w:r>
          </w:p>
        </w:tc>
        <w:tc>
          <w:tcPr>
            <w:tcW w:w="1487" w:type="dxa"/>
            <w:vAlign w:val="center"/>
          </w:tcPr>
          <w:p>
            <w:pPr>
              <w:jc w:val="center"/>
              <w:rPr>
                <w:rFonts w:ascii="Times New Roman" w:hAnsi="Times New Roman"/>
                <w:color w:val="000000" w:themeColor="text1"/>
                <w:sz w:val="18"/>
                <w:szCs w:val="18"/>
              </w:rPr>
            </w:pPr>
            <w:r>
              <w:rPr>
                <w:rFonts w:ascii="Times New Roman" w:hAnsi="宋体"/>
                <w:color w:val="000000" w:themeColor="text1"/>
                <w:sz w:val="18"/>
                <w:szCs w:val="18"/>
              </w:rPr>
              <w:t>投资单位</w:t>
            </w:r>
          </w:p>
        </w:tc>
        <w:tc>
          <w:tcPr>
            <w:tcW w:w="2917" w:type="dxa"/>
            <w:gridSpan w:val="5"/>
            <w:vAlign w:val="center"/>
          </w:tcPr>
          <w:p>
            <w:pPr>
              <w:jc w:val="center"/>
              <w:rPr>
                <w:rFonts w:ascii="Times New Roman" w:hAnsi="Times New Roman"/>
                <w:bCs/>
                <w:color w:val="000000" w:themeColor="text1"/>
                <w:sz w:val="18"/>
                <w:szCs w:val="18"/>
              </w:rPr>
            </w:pPr>
            <w:r>
              <w:rPr>
                <w:rFonts w:ascii="Times New Roman" w:hAnsi="宋体"/>
                <w:color w:val="000000" w:themeColor="text1"/>
                <w:sz w:val="18"/>
                <w:szCs w:val="18"/>
              </w:rPr>
              <w:t>汕尾市红海湾佳龙</w:t>
            </w:r>
            <w:r>
              <w:rPr>
                <w:rFonts w:hint="eastAsia" w:ascii="Times New Roman" w:hAnsi="宋体"/>
                <w:color w:val="000000" w:themeColor="text1"/>
                <w:sz w:val="18"/>
                <w:szCs w:val="18"/>
                <w:lang w:eastAsia="zh-CN"/>
              </w:rPr>
              <w:t>混凝土</w:t>
            </w:r>
            <w:r>
              <w:rPr>
                <w:rFonts w:ascii="Times New Roman" w:hAnsi="宋体"/>
                <w:color w:val="000000" w:themeColor="text1"/>
                <w:sz w:val="18"/>
                <w:szCs w:val="18"/>
              </w:rPr>
              <w:t>有限公司</w:t>
            </w:r>
          </w:p>
        </w:tc>
        <w:tc>
          <w:tcPr>
            <w:tcW w:w="944" w:type="dxa"/>
            <w:gridSpan w:val="2"/>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联系电话</w:t>
            </w:r>
          </w:p>
        </w:tc>
        <w:tc>
          <w:tcPr>
            <w:tcW w:w="1260" w:type="dxa"/>
            <w:gridSpan w:val="4"/>
            <w:vAlign w:val="center"/>
          </w:tcPr>
          <w:p>
            <w:pPr>
              <w:jc w:val="center"/>
              <w:rPr>
                <w:rFonts w:ascii="Times New Roman" w:hAnsi="Times New Roman"/>
                <w:bCs/>
                <w:color w:val="000000" w:themeColor="text1"/>
                <w:sz w:val="18"/>
                <w:szCs w:val="18"/>
              </w:rPr>
            </w:pPr>
            <w:r>
              <w:rPr>
                <w:rFonts w:ascii="Times New Roman" w:hAnsi="Times New Roman"/>
                <w:color w:val="000000" w:themeColor="text1"/>
                <w:sz w:val="18"/>
                <w:szCs w:val="18"/>
              </w:rPr>
              <w:t>18946922337</w:t>
            </w:r>
          </w:p>
        </w:tc>
        <w:tc>
          <w:tcPr>
            <w:tcW w:w="640" w:type="dxa"/>
            <w:gridSpan w:val="3"/>
            <w:vMerge w:val="restart"/>
            <w:textDirection w:val="tbRlV"/>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评价单位</w:t>
            </w:r>
          </w:p>
        </w:tc>
        <w:tc>
          <w:tcPr>
            <w:tcW w:w="1050" w:type="dxa"/>
            <w:gridSpan w:val="4"/>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单位名称</w:t>
            </w:r>
          </w:p>
        </w:tc>
        <w:tc>
          <w:tcPr>
            <w:tcW w:w="3186" w:type="dxa"/>
            <w:gridSpan w:val="6"/>
            <w:vAlign w:val="center"/>
          </w:tcPr>
          <w:p>
            <w:pPr>
              <w:jc w:val="center"/>
              <w:rPr>
                <w:rFonts w:ascii="Times New Roman" w:hAnsi="Times New Roman"/>
                <w:bCs/>
                <w:color w:val="000000" w:themeColor="text1"/>
                <w:sz w:val="18"/>
                <w:szCs w:val="18"/>
              </w:rPr>
            </w:pPr>
            <w:r>
              <w:rPr>
                <w:rFonts w:hint="eastAsia"/>
                <w:bCs/>
                <w:color w:val="000000" w:themeColor="text1"/>
                <w:sz w:val="18"/>
                <w:szCs w:val="18"/>
              </w:rPr>
              <w:t>深圳市景泰荣环保科技有限公司</w:t>
            </w:r>
            <w:r>
              <w:rPr>
                <w:bCs/>
                <w:color w:val="000000" w:themeColor="text1"/>
                <w:sz w:val="18"/>
                <w:szCs w:val="18"/>
              </w:rPr>
              <w:t xml:space="preserve"> </w:t>
            </w:r>
          </w:p>
        </w:tc>
        <w:tc>
          <w:tcPr>
            <w:tcW w:w="1324" w:type="dxa"/>
            <w:gridSpan w:val="2"/>
            <w:vAlign w:val="center"/>
          </w:tcPr>
          <w:p>
            <w:pPr>
              <w:jc w:val="center"/>
              <w:rPr>
                <w:rFonts w:ascii="Times New Roman" w:hAnsi="Times New Roman"/>
                <w:bCs/>
                <w:color w:val="FF0000"/>
                <w:sz w:val="18"/>
                <w:szCs w:val="18"/>
              </w:rPr>
            </w:pPr>
            <w:r>
              <w:rPr>
                <w:rFonts w:hint="eastAsia"/>
                <w:b/>
                <w:sz w:val="18"/>
                <w:szCs w:val="18"/>
              </w:rPr>
              <w:t>联系电话</w:t>
            </w:r>
          </w:p>
        </w:tc>
        <w:tc>
          <w:tcPr>
            <w:tcW w:w="1656" w:type="dxa"/>
            <w:vAlign w:val="center"/>
          </w:tcPr>
          <w:p>
            <w:pPr>
              <w:jc w:val="center"/>
              <w:rPr>
                <w:rFonts w:ascii="Times New Roman" w:hAnsi="Times New Roman"/>
                <w:bCs/>
                <w:color w:val="FF0000"/>
                <w:sz w:val="18"/>
                <w:szCs w:val="18"/>
              </w:rPr>
            </w:pPr>
            <w:r>
              <w:rPr>
                <w:bCs/>
                <w:sz w:val="18"/>
                <w:szCs w:val="18"/>
              </w:rPr>
              <w:t>0755-27823123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通讯地址</w:t>
            </w:r>
          </w:p>
        </w:tc>
        <w:tc>
          <w:tcPr>
            <w:tcW w:w="2917" w:type="dxa"/>
            <w:gridSpan w:val="5"/>
            <w:vAlign w:val="center"/>
          </w:tcPr>
          <w:p>
            <w:pPr>
              <w:jc w:val="center"/>
              <w:rPr>
                <w:rFonts w:ascii="Times New Roman" w:hAnsi="Times New Roman"/>
                <w:bCs/>
                <w:color w:val="000000" w:themeColor="text1"/>
                <w:sz w:val="18"/>
                <w:szCs w:val="18"/>
              </w:rPr>
            </w:pPr>
            <w:r>
              <w:rPr>
                <w:rFonts w:hint="eastAsia" w:ascii="Times New Roman" w:hAnsi="宋体"/>
                <w:color w:val="000000" w:themeColor="text1"/>
                <w:sz w:val="18"/>
                <w:szCs w:val="18"/>
              </w:rPr>
              <w:t>汕尾市区红海湾田墘街道石新村委小马巷村西面钉子路口</w:t>
            </w:r>
          </w:p>
        </w:tc>
        <w:tc>
          <w:tcPr>
            <w:tcW w:w="944" w:type="dxa"/>
            <w:gridSpan w:val="2"/>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邮政编码</w:t>
            </w:r>
          </w:p>
        </w:tc>
        <w:tc>
          <w:tcPr>
            <w:tcW w:w="1260" w:type="dxa"/>
            <w:gridSpan w:val="4"/>
            <w:vAlign w:val="center"/>
          </w:tcPr>
          <w:p>
            <w:pPr>
              <w:jc w:val="center"/>
              <w:rPr>
                <w:rFonts w:ascii="Times New Roman" w:hAnsi="Times New Roman"/>
                <w:bCs/>
                <w:color w:val="000000" w:themeColor="text1"/>
                <w:sz w:val="18"/>
                <w:szCs w:val="18"/>
              </w:rPr>
            </w:pPr>
            <w:r>
              <w:rPr>
                <w:rFonts w:ascii="Times New Roman" w:hAnsi="Times New Roman"/>
                <w:color w:val="000000" w:themeColor="text1"/>
                <w:sz w:val="18"/>
                <w:szCs w:val="18"/>
              </w:rPr>
              <w:t>516622</w:t>
            </w:r>
          </w:p>
        </w:tc>
        <w:tc>
          <w:tcPr>
            <w:tcW w:w="640" w:type="dxa"/>
            <w:gridSpan w:val="3"/>
            <w:vMerge w:val="continue"/>
            <w:vAlign w:val="center"/>
          </w:tcPr>
          <w:p>
            <w:pPr>
              <w:jc w:val="center"/>
              <w:rPr>
                <w:rFonts w:ascii="Times New Roman" w:hAnsi="Times New Roman"/>
                <w:bCs/>
                <w:color w:val="000000" w:themeColor="text1"/>
                <w:sz w:val="18"/>
                <w:szCs w:val="18"/>
              </w:rPr>
            </w:pPr>
          </w:p>
        </w:tc>
        <w:tc>
          <w:tcPr>
            <w:tcW w:w="1050" w:type="dxa"/>
            <w:gridSpan w:val="4"/>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通讯地址</w:t>
            </w:r>
          </w:p>
        </w:tc>
        <w:tc>
          <w:tcPr>
            <w:tcW w:w="3186" w:type="dxa"/>
            <w:gridSpan w:val="6"/>
            <w:vAlign w:val="center"/>
          </w:tcPr>
          <w:p>
            <w:pPr>
              <w:jc w:val="center"/>
              <w:rPr>
                <w:rFonts w:ascii="Times New Roman" w:hAnsi="Times New Roman"/>
                <w:bCs/>
                <w:color w:val="000000" w:themeColor="text1"/>
                <w:sz w:val="18"/>
                <w:szCs w:val="18"/>
              </w:rPr>
            </w:pPr>
            <w:r>
              <w:rPr>
                <w:rFonts w:hint="eastAsia"/>
                <w:bCs/>
                <w:color w:val="000000" w:themeColor="text1"/>
                <w:sz w:val="18"/>
                <w:szCs w:val="18"/>
              </w:rPr>
              <w:t>深圳市宝安区新安街道留仙三路北侧中星华科技工业厂区厂房602</w:t>
            </w:r>
          </w:p>
        </w:tc>
        <w:tc>
          <w:tcPr>
            <w:tcW w:w="1324" w:type="dxa"/>
            <w:gridSpan w:val="2"/>
            <w:vAlign w:val="center"/>
          </w:tcPr>
          <w:p>
            <w:pPr>
              <w:jc w:val="center"/>
              <w:rPr>
                <w:rFonts w:ascii="Times New Roman" w:hAnsi="Times New Roman"/>
                <w:bCs/>
                <w:color w:val="FF0000"/>
                <w:sz w:val="18"/>
                <w:szCs w:val="18"/>
              </w:rPr>
            </w:pPr>
            <w:r>
              <w:rPr>
                <w:rFonts w:hint="eastAsia"/>
                <w:b/>
                <w:sz w:val="18"/>
                <w:szCs w:val="18"/>
              </w:rPr>
              <w:t>邮政编码</w:t>
            </w:r>
          </w:p>
        </w:tc>
        <w:tc>
          <w:tcPr>
            <w:tcW w:w="1656" w:type="dxa"/>
            <w:vAlign w:val="center"/>
          </w:tcPr>
          <w:p>
            <w:pPr>
              <w:jc w:val="center"/>
              <w:rPr>
                <w:rFonts w:ascii="Times New Roman" w:hAnsi="Times New Roman"/>
                <w:bCs/>
                <w:color w:val="FF0000"/>
                <w:sz w:val="18"/>
                <w:szCs w:val="18"/>
              </w:rPr>
            </w:pPr>
            <w:r>
              <w:rPr>
                <w:bCs/>
                <w:sz w:val="18"/>
                <w:szCs w:val="18"/>
              </w:rPr>
              <w:t>518101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法人代表</w:t>
            </w:r>
          </w:p>
        </w:tc>
        <w:tc>
          <w:tcPr>
            <w:tcW w:w="2917" w:type="dxa"/>
            <w:gridSpan w:val="5"/>
            <w:vAlign w:val="center"/>
          </w:tcPr>
          <w:p>
            <w:pPr>
              <w:jc w:val="center"/>
              <w:rPr>
                <w:rFonts w:ascii="Times New Roman" w:hAnsi="Times New Roman"/>
                <w:bCs/>
                <w:color w:val="000000" w:themeColor="text1"/>
                <w:sz w:val="18"/>
                <w:szCs w:val="18"/>
              </w:rPr>
            </w:pPr>
            <w:r>
              <w:rPr>
                <w:rFonts w:hint="eastAsia" w:ascii="Times New Roman" w:hAnsi="宋体"/>
                <w:color w:val="000000" w:themeColor="text1"/>
                <w:sz w:val="18"/>
                <w:szCs w:val="18"/>
              </w:rPr>
              <w:t>刘焕泉</w:t>
            </w:r>
          </w:p>
        </w:tc>
        <w:tc>
          <w:tcPr>
            <w:tcW w:w="944" w:type="dxa"/>
            <w:gridSpan w:val="2"/>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联系人</w:t>
            </w:r>
          </w:p>
        </w:tc>
        <w:tc>
          <w:tcPr>
            <w:tcW w:w="1260" w:type="dxa"/>
            <w:gridSpan w:val="4"/>
            <w:vAlign w:val="center"/>
          </w:tcPr>
          <w:p>
            <w:pPr>
              <w:jc w:val="center"/>
              <w:rPr>
                <w:rFonts w:ascii="Times New Roman" w:hAnsi="Times New Roman"/>
                <w:bCs/>
                <w:color w:val="000000" w:themeColor="text1"/>
                <w:sz w:val="18"/>
                <w:szCs w:val="18"/>
              </w:rPr>
            </w:pPr>
            <w:r>
              <w:rPr>
                <w:rFonts w:hint="eastAsia" w:ascii="Times New Roman" w:hAnsi="宋体"/>
                <w:color w:val="000000" w:themeColor="text1"/>
                <w:sz w:val="18"/>
                <w:szCs w:val="18"/>
              </w:rPr>
              <w:t>李工</w:t>
            </w:r>
          </w:p>
        </w:tc>
        <w:tc>
          <w:tcPr>
            <w:tcW w:w="640" w:type="dxa"/>
            <w:gridSpan w:val="3"/>
            <w:vMerge w:val="continue"/>
            <w:vAlign w:val="center"/>
          </w:tcPr>
          <w:p>
            <w:pPr>
              <w:jc w:val="center"/>
              <w:rPr>
                <w:rFonts w:ascii="Times New Roman" w:hAnsi="Times New Roman"/>
                <w:bCs/>
                <w:color w:val="000000" w:themeColor="text1"/>
                <w:sz w:val="18"/>
                <w:szCs w:val="18"/>
              </w:rPr>
            </w:pPr>
          </w:p>
        </w:tc>
        <w:tc>
          <w:tcPr>
            <w:tcW w:w="1050" w:type="dxa"/>
            <w:gridSpan w:val="4"/>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证书编号</w:t>
            </w:r>
          </w:p>
        </w:tc>
        <w:tc>
          <w:tcPr>
            <w:tcW w:w="3186" w:type="dxa"/>
            <w:gridSpan w:val="6"/>
            <w:vAlign w:val="center"/>
          </w:tcPr>
          <w:p>
            <w:pPr>
              <w:jc w:val="center"/>
              <w:rPr>
                <w:rFonts w:ascii="Times New Roman" w:hAnsi="Times New Roman"/>
                <w:bCs/>
                <w:color w:val="000000" w:themeColor="text1"/>
                <w:sz w:val="18"/>
                <w:szCs w:val="18"/>
              </w:rPr>
            </w:pPr>
            <w:r>
              <w:rPr>
                <w:rFonts w:hint="eastAsia"/>
                <w:bCs/>
                <w:color w:val="000000" w:themeColor="text1"/>
                <w:sz w:val="18"/>
                <w:szCs w:val="18"/>
              </w:rPr>
              <w:t>国环评证乙字第2879号</w:t>
            </w:r>
          </w:p>
        </w:tc>
        <w:tc>
          <w:tcPr>
            <w:tcW w:w="1324" w:type="dxa"/>
            <w:gridSpan w:val="2"/>
            <w:vAlign w:val="center"/>
          </w:tcPr>
          <w:p>
            <w:pPr>
              <w:snapToGrid w:val="0"/>
              <w:jc w:val="distribute"/>
              <w:rPr>
                <w:b/>
                <w:sz w:val="18"/>
                <w:szCs w:val="18"/>
              </w:rPr>
            </w:pPr>
            <w:r>
              <w:rPr>
                <w:rFonts w:hint="eastAsia"/>
                <w:b/>
                <w:sz w:val="18"/>
                <w:szCs w:val="18"/>
              </w:rPr>
              <w:t>评价经费</w:t>
            </w:r>
          </w:p>
          <w:p>
            <w:pPr>
              <w:jc w:val="center"/>
              <w:rPr>
                <w:rFonts w:ascii="Times New Roman" w:hAnsi="Times New Roman"/>
                <w:bCs/>
                <w:color w:val="FF0000"/>
                <w:sz w:val="18"/>
                <w:szCs w:val="18"/>
              </w:rPr>
            </w:pPr>
            <w:r>
              <w:rPr>
                <w:rFonts w:hint="eastAsia"/>
                <w:b/>
                <w:sz w:val="18"/>
                <w:szCs w:val="18"/>
              </w:rPr>
              <w:t>（万元）</w:t>
            </w:r>
          </w:p>
        </w:tc>
        <w:tc>
          <w:tcPr>
            <w:tcW w:w="1656" w:type="dxa"/>
            <w:vAlign w:val="center"/>
          </w:tcPr>
          <w:p>
            <w:pPr>
              <w:jc w:val="center"/>
              <w:rPr>
                <w:rFonts w:ascii="Times New Roman" w:hAnsi="Times New Roman"/>
                <w:bCs/>
                <w:color w:val="FF0000"/>
                <w:sz w:val="18"/>
                <w:szCs w:val="18"/>
              </w:rPr>
            </w:pPr>
            <w:r>
              <w:rPr>
                <w:rFonts w:hint="eastAsia"/>
                <w:bCs/>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restart"/>
            <w:textDirection w:val="tbRlV"/>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建设项目所处区域环境现状</w:t>
            </w: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环境质量等级</w:t>
            </w:r>
          </w:p>
        </w:tc>
        <w:tc>
          <w:tcPr>
            <w:tcW w:w="12977" w:type="dxa"/>
            <w:gridSpan w:val="27"/>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环境空气：二级</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地表水：</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地下水：</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声环境：</w:t>
            </w:r>
            <w:r>
              <w:rPr>
                <w:rFonts w:ascii="Times New Roman" w:hAnsi="Times New Roman"/>
                <w:bCs/>
                <w:color w:val="000000" w:themeColor="text1"/>
                <w:sz w:val="18"/>
                <w:szCs w:val="18"/>
              </w:rPr>
              <w:t>2</w:t>
            </w:r>
            <w:r>
              <w:rPr>
                <w:rFonts w:ascii="Times New Roman" w:hAnsi="宋体"/>
                <w:bCs/>
                <w:color w:val="000000" w:themeColor="text1"/>
                <w:sz w:val="18"/>
                <w:szCs w:val="18"/>
              </w:rPr>
              <w:t>类</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海水：第二类</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土壤：</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环境敏感特征</w:t>
            </w:r>
          </w:p>
        </w:tc>
        <w:tc>
          <w:tcPr>
            <w:tcW w:w="12977" w:type="dxa"/>
            <w:gridSpan w:val="27"/>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r>
              <w:rPr>
                <w:rFonts w:ascii="Times New Roman" w:hAnsi="宋体"/>
                <w:bCs/>
                <w:color w:val="000000" w:themeColor="text1"/>
                <w:sz w:val="18"/>
                <w:szCs w:val="18"/>
              </w:rPr>
              <w:t>饮用水水源保护区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自然保护区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风景名胜区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森林公园</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基本农田保护区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生态功能保护区</w:t>
            </w:r>
            <w:r>
              <w:rPr>
                <w:rFonts w:ascii="Times New Roman" w:hAnsi="Times New Roman"/>
                <w:bCs/>
                <w:color w:val="000000" w:themeColor="text1"/>
                <w:sz w:val="18"/>
                <w:szCs w:val="18"/>
              </w:rPr>
              <w:t xml:space="preserve">   □ </w:t>
            </w:r>
            <w:r>
              <w:rPr>
                <w:rFonts w:ascii="Times New Roman" w:hAnsi="宋体"/>
                <w:bCs/>
                <w:color w:val="000000" w:themeColor="text1"/>
                <w:sz w:val="18"/>
                <w:szCs w:val="18"/>
              </w:rPr>
              <w:t>水土流失重点防治区</w:t>
            </w:r>
          </w:p>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r>
              <w:rPr>
                <w:rFonts w:ascii="Times New Roman" w:hAnsi="宋体"/>
                <w:bCs/>
                <w:color w:val="000000" w:themeColor="text1"/>
                <w:sz w:val="18"/>
                <w:szCs w:val="18"/>
              </w:rPr>
              <w:t>生态敏感与脆弱区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人口密集区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重点文物保护单位</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三河、三湖、两控区</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三峡库区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restart"/>
            <w:textDirection w:val="tbRlV"/>
            <w:vAlign w:val="center"/>
          </w:tcPr>
          <w:p>
            <w:pPr>
              <w:widowControl/>
              <w:jc w:val="center"/>
              <w:textAlignment w:val="top"/>
              <w:rPr>
                <w:rFonts w:ascii="Times New Roman" w:hAnsi="Times New Roman"/>
                <w:bCs/>
                <w:color w:val="000000" w:themeColor="text1"/>
                <w:sz w:val="18"/>
                <w:szCs w:val="18"/>
              </w:rPr>
            </w:pPr>
            <w:r>
              <w:rPr>
                <w:rFonts w:ascii="Times New Roman" w:hAnsi="宋体"/>
                <w:bCs/>
                <w:color w:val="000000" w:themeColor="text1"/>
                <w:sz w:val="18"/>
                <w:szCs w:val="18"/>
              </w:rPr>
              <w:t>污染物排放达标与总量控制（工业建设项目详填）</w:t>
            </w:r>
          </w:p>
        </w:tc>
        <w:tc>
          <w:tcPr>
            <w:tcW w:w="1487" w:type="dxa"/>
            <w:vMerge w:val="restart"/>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污染物</w:t>
            </w:r>
          </w:p>
        </w:tc>
        <w:tc>
          <w:tcPr>
            <w:tcW w:w="3151" w:type="dxa"/>
            <w:gridSpan w:val="6"/>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现有工程（已建</w:t>
            </w:r>
            <w:r>
              <w:rPr>
                <w:rFonts w:ascii="Times New Roman" w:hAnsi="Times New Roman"/>
                <w:bCs/>
                <w:color w:val="000000" w:themeColor="text1"/>
                <w:sz w:val="18"/>
                <w:szCs w:val="18"/>
              </w:rPr>
              <w:t>+</w:t>
            </w:r>
            <w:r>
              <w:rPr>
                <w:rFonts w:ascii="Times New Roman" w:hAnsi="宋体"/>
                <w:bCs/>
                <w:color w:val="000000" w:themeColor="text1"/>
                <w:sz w:val="18"/>
                <w:szCs w:val="18"/>
              </w:rPr>
              <w:t>在建）</w:t>
            </w:r>
          </w:p>
        </w:tc>
        <w:tc>
          <w:tcPr>
            <w:tcW w:w="4002" w:type="dxa"/>
            <w:gridSpan w:val="14"/>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本工程（拟建）</w:t>
            </w:r>
          </w:p>
        </w:tc>
        <w:tc>
          <w:tcPr>
            <w:tcW w:w="3127" w:type="dxa"/>
            <w:gridSpan w:val="5"/>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总体工程（已建</w:t>
            </w:r>
            <w:r>
              <w:rPr>
                <w:rFonts w:ascii="Times New Roman" w:hAnsi="Times New Roman"/>
                <w:bCs/>
                <w:color w:val="000000" w:themeColor="text1"/>
                <w:sz w:val="18"/>
                <w:szCs w:val="18"/>
              </w:rPr>
              <w:t>+</w:t>
            </w:r>
            <w:r>
              <w:rPr>
                <w:rFonts w:ascii="Times New Roman" w:hAnsi="宋体"/>
                <w:bCs/>
                <w:color w:val="000000" w:themeColor="text1"/>
                <w:sz w:val="18"/>
                <w:szCs w:val="18"/>
              </w:rPr>
              <w:t>在建</w:t>
            </w:r>
            <w:r>
              <w:rPr>
                <w:rFonts w:ascii="Times New Roman" w:hAnsi="Times New Roman"/>
                <w:bCs/>
                <w:color w:val="000000" w:themeColor="text1"/>
                <w:sz w:val="18"/>
                <w:szCs w:val="18"/>
              </w:rPr>
              <w:t>+</w:t>
            </w:r>
            <w:r>
              <w:rPr>
                <w:rFonts w:ascii="Times New Roman" w:hAnsi="宋体"/>
                <w:bCs/>
                <w:color w:val="000000" w:themeColor="text1"/>
                <w:sz w:val="18"/>
                <w:szCs w:val="18"/>
              </w:rPr>
              <w:t>拟建）</w:t>
            </w:r>
          </w:p>
        </w:tc>
        <w:tc>
          <w:tcPr>
            <w:tcW w:w="2697" w:type="dxa"/>
            <w:gridSpan w:val="2"/>
            <w:vMerge w:val="restart"/>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区域平衡替代削减量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Merge w:val="continue"/>
            <w:vAlign w:val="center"/>
          </w:tcPr>
          <w:p>
            <w:pPr>
              <w:jc w:val="center"/>
              <w:rPr>
                <w:rFonts w:ascii="Times New Roman" w:hAnsi="Times New Roman"/>
                <w:bCs/>
                <w:color w:val="000000" w:themeColor="text1"/>
                <w:sz w:val="18"/>
                <w:szCs w:val="18"/>
              </w:rPr>
            </w:pPr>
          </w:p>
        </w:tc>
        <w:tc>
          <w:tcPr>
            <w:tcW w:w="652" w:type="dxa"/>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实际排放浓度</w:t>
            </w:r>
          </w:p>
        </w:tc>
        <w:tc>
          <w:tcPr>
            <w:tcW w:w="612" w:type="dxa"/>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允许排放浓度</w:t>
            </w:r>
          </w:p>
        </w:tc>
        <w:tc>
          <w:tcPr>
            <w:tcW w:w="644" w:type="dxa"/>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实际排放总量</w:t>
            </w:r>
          </w:p>
        </w:tc>
        <w:tc>
          <w:tcPr>
            <w:tcW w:w="1243" w:type="dxa"/>
            <w:gridSpan w:val="3"/>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核定排放总量</w:t>
            </w:r>
          </w:p>
        </w:tc>
        <w:tc>
          <w:tcPr>
            <w:tcW w:w="871" w:type="dxa"/>
            <w:gridSpan w:val="3"/>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预测排放浓度</w:t>
            </w:r>
          </w:p>
        </w:tc>
        <w:tc>
          <w:tcPr>
            <w:tcW w:w="602" w:type="dxa"/>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允许排放浓度</w:t>
            </w:r>
          </w:p>
        </w:tc>
        <w:tc>
          <w:tcPr>
            <w:tcW w:w="602" w:type="dxa"/>
            <w:gridSpan w:val="3"/>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产</w:t>
            </w:r>
          </w:p>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生</w:t>
            </w:r>
          </w:p>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量</w:t>
            </w:r>
          </w:p>
        </w:tc>
        <w:tc>
          <w:tcPr>
            <w:tcW w:w="644" w:type="dxa"/>
            <w:gridSpan w:val="3"/>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自身</w:t>
            </w:r>
          </w:p>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削减量</w:t>
            </w:r>
          </w:p>
        </w:tc>
        <w:tc>
          <w:tcPr>
            <w:tcW w:w="611" w:type="dxa"/>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预测排放总量</w:t>
            </w:r>
          </w:p>
        </w:tc>
        <w:tc>
          <w:tcPr>
            <w:tcW w:w="672" w:type="dxa"/>
            <w:gridSpan w:val="3"/>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核定排放总量</w:t>
            </w:r>
          </w:p>
        </w:tc>
        <w:tc>
          <w:tcPr>
            <w:tcW w:w="823" w:type="dxa"/>
            <w:vAlign w:val="center"/>
          </w:tcPr>
          <w:p>
            <w:pPr>
              <w:adjustRightInd w:val="0"/>
              <w:snapToGrid w:val="0"/>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r>
              <w:rPr>
                <w:rFonts w:ascii="Times New Roman" w:hAnsi="宋体"/>
                <w:bCs/>
                <w:color w:val="000000" w:themeColor="text1"/>
                <w:sz w:val="18"/>
                <w:szCs w:val="18"/>
              </w:rPr>
              <w:t>以新带老</w:t>
            </w:r>
            <w:r>
              <w:rPr>
                <w:rFonts w:ascii="Times New Roman" w:hAnsi="Times New Roman"/>
                <w:bCs/>
                <w:color w:val="000000" w:themeColor="text1"/>
                <w:sz w:val="18"/>
                <w:szCs w:val="18"/>
              </w:rPr>
              <w:t>”</w:t>
            </w:r>
          </w:p>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削减量</w:t>
            </w:r>
          </w:p>
        </w:tc>
        <w:tc>
          <w:tcPr>
            <w:tcW w:w="770" w:type="dxa"/>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预测排放总量</w:t>
            </w:r>
          </w:p>
        </w:tc>
        <w:tc>
          <w:tcPr>
            <w:tcW w:w="801" w:type="dxa"/>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核定排放总量</w:t>
            </w:r>
          </w:p>
        </w:tc>
        <w:tc>
          <w:tcPr>
            <w:tcW w:w="733" w:type="dxa"/>
            <w:gridSpan w:val="2"/>
            <w:vAlign w:val="center"/>
          </w:tcPr>
          <w:p>
            <w:pPr>
              <w:adjustRightInd w:val="0"/>
              <w:snapToGrid w:val="0"/>
              <w:jc w:val="center"/>
              <w:rPr>
                <w:rFonts w:ascii="Times New Roman" w:hAnsi="Times New Roman"/>
                <w:bCs/>
                <w:color w:val="000000" w:themeColor="text1"/>
                <w:sz w:val="18"/>
                <w:szCs w:val="18"/>
              </w:rPr>
            </w:pPr>
            <w:r>
              <w:rPr>
                <w:rFonts w:ascii="Times New Roman" w:hAnsi="宋体"/>
                <w:bCs/>
                <w:color w:val="000000" w:themeColor="text1"/>
                <w:sz w:val="18"/>
                <w:szCs w:val="18"/>
              </w:rPr>
              <w:t>排放增减量</w:t>
            </w:r>
          </w:p>
        </w:tc>
        <w:tc>
          <w:tcPr>
            <w:tcW w:w="2697" w:type="dxa"/>
            <w:gridSpan w:val="2"/>
            <w:vMerge w:val="continue"/>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废水</w:t>
            </w:r>
          </w:p>
        </w:tc>
        <w:tc>
          <w:tcPr>
            <w:tcW w:w="652" w:type="dxa"/>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p>
        </w:tc>
        <w:tc>
          <w:tcPr>
            <w:tcW w:w="612" w:type="dxa"/>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w:t>
            </w: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bCs/>
                <w:color w:val="000000" w:themeColor="text1"/>
                <w:sz w:val="18"/>
                <w:szCs w:val="18"/>
              </w:rPr>
            </w:pPr>
          </w:p>
        </w:tc>
        <w:tc>
          <w:tcPr>
            <w:tcW w:w="602" w:type="dxa"/>
            <w:vAlign w:val="center"/>
          </w:tcPr>
          <w:p>
            <w:pPr>
              <w:jc w:val="center"/>
              <w:rPr>
                <w:rFonts w:ascii="Times New Roman" w:hAnsi="Times New Roman"/>
                <w:bCs/>
                <w:color w:val="000000" w:themeColor="text1"/>
                <w:sz w:val="18"/>
                <w:szCs w:val="18"/>
              </w:rPr>
            </w:pPr>
          </w:p>
        </w:tc>
        <w:tc>
          <w:tcPr>
            <w:tcW w:w="602" w:type="dxa"/>
            <w:gridSpan w:val="3"/>
            <w:vAlign w:val="center"/>
          </w:tcPr>
          <w:p>
            <w:pPr>
              <w:jc w:val="center"/>
              <w:rPr>
                <w:rFonts w:ascii="Times New Roman" w:hAnsi="Times New Roman"/>
                <w:bCs/>
                <w:color w:val="000000" w:themeColor="text1"/>
                <w:sz w:val="18"/>
                <w:szCs w:val="18"/>
              </w:rPr>
            </w:pPr>
          </w:p>
        </w:tc>
        <w:tc>
          <w:tcPr>
            <w:tcW w:w="644" w:type="dxa"/>
            <w:gridSpan w:val="3"/>
            <w:vAlign w:val="center"/>
          </w:tcPr>
          <w:p>
            <w:pPr>
              <w:jc w:val="center"/>
              <w:rPr>
                <w:rFonts w:ascii="Times New Roman" w:hAnsi="Times New Roman"/>
                <w:color w:val="000000" w:themeColor="text1"/>
                <w:sz w:val="18"/>
                <w:szCs w:val="18"/>
              </w:rPr>
            </w:pPr>
          </w:p>
        </w:tc>
        <w:tc>
          <w:tcPr>
            <w:tcW w:w="611" w:type="dxa"/>
            <w:vAlign w:val="center"/>
          </w:tcPr>
          <w:p>
            <w:pPr>
              <w:jc w:val="center"/>
              <w:rPr>
                <w:rFonts w:ascii="Times New Roman" w:hAnsi="Times New Roman"/>
                <w:color w:val="000000" w:themeColor="text1"/>
                <w:sz w:val="18"/>
                <w:szCs w:val="18"/>
              </w:rPr>
            </w:pPr>
          </w:p>
        </w:tc>
        <w:tc>
          <w:tcPr>
            <w:tcW w:w="672" w:type="dxa"/>
            <w:gridSpan w:val="3"/>
            <w:vAlign w:val="center"/>
          </w:tcPr>
          <w:p>
            <w:pPr>
              <w:jc w:val="center"/>
              <w:rPr>
                <w:rFonts w:ascii="Times New Roman" w:hAnsi="Times New Roman"/>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化学需氧量</w:t>
            </w:r>
            <w:r>
              <w:rPr>
                <w:rFonts w:ascii="Times New Roman" w:hAnsi="Times New Roman"/>
                <w:bCs/>
                <w:color w:val="000000" w:themeColor="text1"/>
                <w:sz w:val="18"/>
                <w:szCs w:val="18"/>
              </w:rPr>
              <w:t>*</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602" w:type="dxa"/>
            <w:vAlign w:val="center"/>
          </w:tcPr>
          <w:p>
            <w:pPr>
              <w:jc w:val="center"/>
              <w:rPr>
                <w:rFonts w:ascii="Times New Roman" w:hAnsi="Times New Roman"/>
                <w:color w:val="000000" w:themeColor="text1"/>
                <w:sz w:val="18"/>
                <w:szCs w:val="18"/>
              </w:rPr>
            </w:pPr>
          </w:p>
        </w:tc>
        <w:tc>
          <w:tcPr>
            <w:tcW w:w="602" w:type="dxa"/>
            <w:gridSpan w:val="3"/>
            <w:vAlign w:val="center"/>
          </w:tcPr>
          <w:p>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644" w:type="dxa"/>
            <w:gridSpan w:val="3"/>
            <w:vAlign w:val="center"/>
          </w:tcPr>
          <w:p>
            <w:pPr>
              <w:jc w:val="center"/>
              <w:rPr>
                <w:rFonts w:ascii="Times New Roman" w:hAnsi="Times New Roman"/>
                <w:color w:val="000000" w:themeColor="text1"/>
                <w:sz w:val="18"/>
                <w:szCs w:val="18"/>
              </w:rPr>
            </w:pPr>
          </w:p>
        </w:tc>
        <w:tc>
          <w:tcPr>
            <w:tcW w:w="611" w:type="dxa"/>
            <w:vAlign w:val="center"/>
          </w:tcPr>
          <w:p>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672" w:type="dxa"/>
            <w:gridSpan w:val="3"/>
            <w:vAlign w:val="center"/>
          </w:tcPr>
          <w:p>
            <w:pPr>
              <w:jc w:val="center"/>
              <w:rPr>
                <w:rFonts w:ascii="Times New Roman" w:hAnsi="Times New Roman"/>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氨</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氮</w:t>
            </w:r>
            <w:r>
              <w:rPr>
                <w:rFonts w:ascii="Times New Roman" w:hAnsi="Times New Roman"/>
                <w:bCs/>
                <w:color w:val="000000" w:themeColor="text1"/>
                <w:sz w:val="18"/>
                <w:szCs w:val="18"/>
              </w:rPr>
              <w:t>*</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0</w:t>
            </w:r>
          </w:p>
        </w:tc>
        <w:tc>
          <w:tcPr>
            <w:tcW w:w="602" w:type="dxa"/>
            <w:vAlign w:val="center"/>
          </w:tcPr>
          <w:p>
            <w:pPr>
              <w:jc w:val="center"/>
              <w:rPr>
                <w:rFonts w:ascii="Times New Roman" w:hAnsi="Times New Roman"/>
                <w:bCs/>
                <w:color w:val="000000" w:themeColor="text1"/>
                <w:sz w:val="18"/>
                <w:szCs w:val="18"/>
              </w:rPr>
            </w:pPr>
          </w:p>
        </w:tc>
        <w:tc>
          <w:tcPr>
            <w:tcW w:w="602" w:type="dxa"/>
            <w:gridSpan w:val="3"/>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0</w:t>
            </w:r>
          </w:p>
        </w:tc>
        <w:tc>
          <w:tcPr>
            <w:tcW w:w="644" w:type="dxa"/>
            <w:gridSpan w:val="3"/>
            <w:vAlign w:val="center"/>
          </w:tcPr>
          <w:p>
            <w:pPr>
              <w:jc w:val="center"/>
              <w:rPr>
                <w:rFonts w:ascii="Times New Roman" w:hAnsi="Times New Roman"/>
                <w:color w:val="000000" w:themeColor="text1"/>
                <w:sz w:val="18"/>
                <w:szCs w:val="18"/>
              </w:rPr>
            </w:pPr>
          </w:p>
        </w:tc>
        <w:tc>
          <w:tcPr>
            <w:tcW w:w="611" w:type="dxa"/>
            <w:vAlign w:val="center"/>
          </w:tcPr>
          <w:p>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672" w:type="dxa"/>
            <w:gridSpan w:val="3"/>
            <w:vAlign w:val="center"/>
          </w:tcPr>
          <w:p>
            <w:pPr>
              <w:jc w:val="center"/>
              <w:rPr>
                <w:rFonts w:ascii="Times New Roman" w:hAnsi="Times New Roman"/>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石油类</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bCs/>
                <w:color w:val="000000" w:themeColor="text1"/>
                <w:sz w:val="18"/>
                <w:szCs w:val="18"/>
              </w:rPr>
            </w:pPr>
          </w:p>
        </w:tc>
        <w:tc>
          <w:tcPr>
            <w:tcW w:w="602" w:type="dxa"/>
            <w:vAlign w:val="center"/>
          </w:tcPr>
          <w:p>
            <w:pPr>
              <w:jc w:val="center"/>
              <w:rPr>
                <w:rFonts w:ascii="Times New Roman" w:hAnsi="Times New Roman"/>
                <w:bCs/>
                <w:color w:val="000000" w:themeColor="text1"/>
                <w:sz w:val="18"/>
                <w:szCs w:val="18"/>
              </w:rPr>
            </w:pPr>
          </w:p>
        </w:tc>
        <w:tc>
          <w:tcPr>
            <w:tcW w:w="602" w:type="dxa"/>
            <w:gridSpan w:val="3"/>
            <w:vAlign w:val="center"/>
          </w:tcPr>
          <w:p>
            <w:pPr>
              <w:jc w:val="center"/>
              <w:rPr>
                <w:rFonts w:ascii="Times New Roman" w:hAnsi="Times New Roman"/>
                <w:bCs/>
                <w:color w:val="000000" w:themeColor="text1"/>
                <w:sz w:val="18"/>
                <w:szCs w:val="18"/>
              </w:rPr>
            </w:pPr>
          </w:p>
        </w:tc>
        <w:tc>
          <w:tcPr>
            <w:tcW w:w="644" w:type="dxa"/>
            <w:gridSpan w:val="3"/>
            <w:vAlign w:val="center"/>
          </w:tcPr>
          <w:p>
            <w:pPr>
              <w:jc w:val="center"/>
              <w:rPr>
                <w:rFonts w:ascii="Times New Roman" w:hAnsi="Times New Roman"/>
                <w:color w:val="000000" w:themeColor="text1"/>
                <w:sz w:val="18"/>
                <w:szCs w:val="18"/>
              </w:rPr>
            </w:pPr>
          </w:p>
        </w:tc>
        <w:tc>
          <w:tcPr>
            <w:tcW w:w="611" w:type="dxa"/>
            <w:vAlign w:val="center"/>
          </w:tcPr>
          <w:p>
            <w:pPr>
              <w:jc w:val="center"/>
              <w:rPr>
                <w:rFonts w:ascii="Times New Roman" w:hAnsi="Times New Roman"/>
                <w:color w:val="000000" w:themeColor="text1"/>
                <w:sz w:val="18"/>
                <w:szCs w:val="18"/>
              </w:rPr>
            </w:pPr>
          </w:p>
        </w:tc>
        <w:tc>
          <w:tcPr>
            <w:tcW w:w="672" w:type="dxa"/>
            <w:gridSpan w:val="3"/>
            <w:vAlign w:val="center"/>
          </w:tcPr>
          <w:p>
            <w:pPr>
              <w:jc w:val="center"/>
              <w:rPr>
                <w:rFonts w:ascii="Times New Roman" w:hAnsi="Times New Roman"/>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废气</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bCs/>
                <w:color w:val="000000" w:themeColor="text1"/>
                <w:sz w:val="18"/>
                <w:szCs w:val="18"/>
              </w:rPr>
            </w:pPr>
          </w:p>
        </w:tc>
        <w:tc>
          <w:tcPr>
            <w:tcW w:w="602" w:type="dxa"/>
            <w:vAlign w:val="center"/>
          </w:tcPr>
          <w:p>
            <w:pPr>
              <w:jc w:val="center"/>
              <w:rPr>
                <w:rFonts w:ascii="Times New Roman" w:hAnsi="Times New Roman"/>
                <w:bCs/>
                <w:color w:val="000000" w:themeColor="text1"/>
                <w:sz w:val="18"/>
                <w:szCs w:val="18"/>
              </w:rPr>
            </w:pPr>
          </w:p>
        </w:tc>
        <w:tc>
          <w:tcPr>
            <w:tcW w:w="602" w:type="dxa"/>
            <w:gridSpan w:val="3"/>
            <w:vAlign w:val="center"/>
          </w:tcPr>
          <w:p>
            <w:pPr>
              <w:jc w:val="center"/>
              <w:rPr>
                <w:rFonts w:ascii="Times New Roman" w:hAnsi="Times New Roman"/>
                <w:bCs/>
                <w:color w:val="000000" w:themeColor="text1"/>
                <w:sz w:val="18"/>
                <w:szCs w:val="18"/>
              </w:rPr>
            </w:pPr>
          </w:p>
        </w:tc>
        <w:tc>
          <w:tcPr>
            <w:tcW w:w="644" w:type="dxa"/>
            <w:gridSpan w:val="3"/>
            <w:vAlign w:val="center"/>
          </w:tcPr>
          <w:p>
            <w:pPr>
              <w:jc w:val="center"/>
              <w:rPr>
                <w:rFonts w:ascii="Times New Roman" w:hAnsi="Times New Roman"/>
                <w:bCs/>
                <w:color w:val="000000" w:themeColor="text1"/>
                <w:sz w:val="18"/>
                <w:szCs w:val="18"/>
              </w:rPr>
            </w:pPr>
          </w:p>
        </w:tc>
        <w:tc>
          <w:tcPr>
            <w:tcW w:w="611" w:type="dxa"/>
            <w:vAlign w:val="center"/>
          </w:tcPr>
          <w:p>
            <w:pPr>
              <w:jc w:val="center"/>
              <w:rPr>
                <w:rFonts w:ascii="Times New Roman" w:hAnsi="Times New Roman"/>
                <w:bCs/>
                <w:color w:val="000000" w:themeColor="text1"/>
                <w:sz w:val="18"/>
                <w:szCs w:val="18"/>
              </w:rPr>
            </w:pPr>
          </w:p>
        </w:tc>
        <w:tc>
          <w:tcPr>
            <w:tcW w:w="672" w:type="dxa"/>
            <w:gridSpan w:val="3"/>
            <w:vAlign w:val="center"/>
          </w:tcPr>
          <w:p>
            <w:pPr>
              <w:jc w:val="center"/>
              <w:rPr>
                <w:rFonts w:ascii="Times New Roman" w:hAnsi="Times New Roman"/>
                <w:bCs/>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二氧化硫</w:t>
            </w:r>
            <w:r>
              <w:rPr>
                <w:rFonts w:ascii="Times New Roman" w:hAnsi="Times New Roman"/>
                <w:bCs/>
                <w:color w:val="000000" w:themeColor="text1"/>
                <w:sz w:val="18"/>
                <w:szCs w:val="18"/>
              </w:rPr>
              <w:t>*</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0</w:t>
            </w:r>
          </w:p>
        </w:tc>
        <w:tc>
          <w:tcPr>
            <w:tcW w:w="602" w:type="dxa"/>
            <w:vAlign w:val="center"/>
          </w:tcPr>
          <w:p>
            <w:pPr>
              <w:jc w:val="center"/>
              <w:rPr>
                <w:rFonts w:ascii="Times New Roman" w:hAnsi="Times New Roman"/>
                <w:bCs/>
                <w:color w:val="000000" w:themeColor="text1"/>
                <w:sz w:val="18"/>
                <w:szCs w:val="18"/>
              </w:rPr>
            </w:pPr>
          </w:p>
        </w:tc>
        <w:tc>
          <w:tcPr>
            <w:tcW w:w="602" w:type="dxa"/>
            <w:gridSpan w:val="3"/>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0</w:t>
            </w:r>
          </w:p>
        </w:tc>
        <w:tc>
          <w:tcPr>
            <w:tcW w:w="644" w:type="dxa"/>
            <w:gridSpan w:val="3"/>
            <w:vAlign w:val="center"/>
          </w:tcPr>
          <w:p>
            <w:pPr>
              <w:jc w:val="center"/>
              <w:rPr>
                <w:rFonts w:ascii="Times New Roman" w:hAnsi="Times New Roman"/>
                <w:bCs/>
                <w:color w:val="000000" w:themeColor="text1"/>
                <w:sz w:val="18"/>
                <w:szCs w:val="18"/>
              </w:rPr>
            </w:pPr>
          </w:p>
        </w:tc>
        <w:tc>
          <w:tcPr>
            <w:tcW w:w="611" w:type="dxa"/>
            <w:vAlign w:val="center"/>
          </w:tcPr>
          <w:p>
            <w:pPr>
              <w:jc w:val="center"/>
              <w:rPr>
                <w:rFonts w:ascii="Times New Roman" w:hAnsi="Times New Roman"/>
                <w:color w:val="000000" w:themeColor="text1"/>
                <w:sz w:val="18"/>
                <w:szCs w:val="18"/>
              </w:rPr>
            </w:pPr>
            <w:r>
              <w:rPr>
                <w:rFonts w:ascii="Times New Roman" w:hAnsi="Times New Roman"/>
                <w:color w:val="000000" w:themeColor="text1"/>
                <w:sz w:val="18"/>
                <w:szCs w:val="18"/>
              </w:rPr>
              <w:t>0</w:t>
            </w:r>
          </w:p>
        </w:tc>
        <w:tc>
          <w:tcPr>
            <w:tcW w:w="672" w:type="dxa"/>
            <w:gridSpan w:val="3"/>
            <w:vAlign w:val="center"/>
          </w:tcPr>
          <w:p>
            <w:pPr>
              <w:jc w:val="center"/>
              <w:rPr>
                <w:rFonts w:ascii="Times New Roman" w:hAnsi="Times New Roman"/>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烟</w:t>
            </w:r>
            <w:r>
              <w:rPr>
                <w:rFonts w:ascii="Times New Roman" w:hAnsi="Times New Roman"/>
                <w:bCs/>
                <w:color w:val="000000" w:themeColor="text1"/>
                <w:sz w:val="18"/>
                <w:szCs w:val="18"/>
              </w:rPr>
              <w:t xml:space="preserve">    </w:t>
            </w:r>
            <w:r>
              <w:rPr>
                <w:rFonts w:ascii="Times New Roman" w:hAnsi="宋体"/>
                <w:bCs/>
                <w:color w:val="000000" w:themeColor="text1"/>
                <w:sz w:val="18"/>
                <w:szCs w:val="18"/>
              </w:rPr>
              <w:t>尘</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bCs/>
                <w:color w:val="000000" w:themeColor="text1"/>
                <w:sz w:val="18"/>
                <w:szCs w:val="18"/>
              </w:rPr>
            </w:pPr>
          </w:p>
        </w:tc>
        <w:tc>
          <w:tcPr>
            <w:tcW w:w="602" w:type="dxa"/>
            <w:vAlign w:val="center"/>
          </w:tcPr>
          <w:p>
            <w:pPr>
              <w:jc w:val="center"/>
              <w:rPr>
                <w:rFonts w:ascii="Times New Roman" w:hAnsi="Times New Roman"/>
                <w:bCs/>
                <w:color w:val="000000" w:themeColor="text1"/>
                <w:sz w:val="18"/>
                <w:szCs w:val="18"/>
              </w:rPr>
            </w:pPr>
          </w:p>
        </w:tc>
        <w:tc>
          <w:tcPr>
            <w:tcW w:w="602" w:type="dxa"/>
            <w:gridSpan w:val="3"/>
            <w:vAlign w:val="center"/>
          </w:tcPr>
          <w:p>
            <w:pPr>
              <w:jc w:val="center"/>
              <w:rPr>
                <w:rFonts w:ascii="Times New Roman" w:hAnsi="Times New Roman"/>
                <w:bCs/>
                <w:color w:val="000000" w:themeColor="text1"/>
                <w:sz w:val="18"/>
                <w:szCs w:val="18"/>
              </w:rPr>
            </w:pPr>
          </w:p>
        </w:tc>
        <w:tc>
          <w:tcPr>
            <w:tcW w:w="644" w:type="dxa"/>
            <w:gridSpan w:val="3"/>
            <w:vAlign w:val="center"/>
          </w:tcPr>
          <w:p>
            <w:pPr>
              <w:jc w:val="center"/>
              <w:rPr>
                <w:rFonts w:ascii="Times New Roman" w:hAnsi="Times New Roman"/>
                <w:bCs/>
                <w:color w:val="000000" w:themeColor="text1"/>
                <w:sz w:val="18"/>
                <w:szCs w:val="18"/>
              </w:rPr>
            </w:pPr>
          </w:p>
        </w:tc>
        <w:tc>
          <w:tcPr>
            <w:tcW w:w="611" w:type="dxa"/>
            <w:vAlign w:val="center"/>
          </w:tcPr>
          <w:p>
            <w:pPr>
              <w:jc w:val="center"/>
              <w:rPr>
                <w:rFonts w:ascii="Times New Roman" w:hAnsi="Times New Roman"/>
                <w:bCs/>
                <w:color w:val="000000" w:themeColor="text1"/>
                <w:sz w:val="18"/>
                <w:szCs w:val="18"/>
              </w:rPr>
            </w:pPr>
          </w:p>
        </w:tc>
        <w:tc>
          <w:tcPr>
            <w:tcW w:w="672" w:type="dxa"/>
            <w:gridSpan w:val="3"/>
            <w:vAlign w:val="center"/>
          </w:tcPr>
          <w:p>
            <w:pPr>
              <w:jc w:val="center"/>
              <w:rPr>
                <w:rFonts w:ascii="Times New Roman" w:hAnsi="Times New Roman"/>
                <w:bCs/>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工业粉尘</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bCs/>
                <w:color w:val="000000" w:themeColor="text1"/>
                <w:sz w:val="18"/>
                <w:szCs w:val="18"/>
              </w:rPr>
            </w:pPr>
          </w:p>
        </w:tc>
        <w:tc>
          <w:tcPr>
            <w:tcW w:w="602" w:type="dxa"/>
            <w:vAlign w:val="center"/>
          </w:tcPr>
          <w:p>
            <w:pPr>
              <w:jc w:val="center"/>
              <w:rPr>
                <w:rFonts w:ascii="Times New Roman" w:hAnsi="Times New Roman"/>
                <w:bCs/>
                <w:color w:val="000000" w:themeColor="text1"/>
                <w:sz w:val="18"/>
                <w:szCs w:val="18"/>
              </w:rPr>
            </w:pPr>
          </w:p>
        </w:tc>
        <w:tc>
          <w:tcPr>
            <w:tcW w:w="602" w:type="dxa"/>
            <w:gridSpan w:val="3"/>
            <w:vAlign w:val="center"/>
          </w:tcPr>
          <w:p>
            <w:pPr>
              <w:jc w:val="center"/>
              <w:rPr>
                <w:rFonts w:ascii="Times New Roman" w:hAnsi="Times New Roman"/>
                <w:bCs/>
                <w:color w:val="000000" w:themeColor="text1"/>
                <w:sz w:val="18"/>
                <w:szCs w:val="18"/>
              </w:rPr>
            </w:pPr>
          </w:p>
        </w:tc>
        <w:tc>
          <w:tcPr>
            <w:tcW w:w="644" w:type="dxa"/>
            <w:gridSpan w:val="3"/>
            <w:vAlign w:val="center"/>
          </w:tcPr>
          <w:p>
            <w:pPr>
              <w:jc w:val="center"/>
              <w:rPr>
                <w:rFonts w:ascii="Times New Roman" w:hAnsi="Times New Roman"/>
                <w:bCs/>
                <w:color w:val="000000" w:themeColor="text1"/>
                <w:sz w:val="18"/>
                <w:szCs w:val="18"/>
              </w:rPr>
            </w:pPr>
          </w:p>
        </w:tc>
        <w:tc>
          <w:tcPr>
            <w:tcW w:w="611" w:type="dxa"/>
            <w:vAlign w:val="center"/>
          </w:tcPr>
          <w:p>
            <w:pPr>
              <w:jc w:val="center"/>
              <w:rPr>
                <w:rFonts w:ascii="Times New Roman" w:hAnsi="Times New Roman"/>
                <w:bCs/>
                <w:color w:val="000000" w:themeColor="text1"/>
                <w:sz w:val="18"/>
                <w:szCs w:val="18"/>
              </w:rPr>
            </w:pPr>
          </w:p>
        </w:tc>
        <w:tc>
          <w:tcPr>
            <w:tcW w:w="672" w:type="dxa"/>
            <w:gridSpan w:val="3"/>
            <w:vAlign w:val="center"/>
          </w:tcPr>
          <w:p>
            <w:pPr>
              <w:jc w:val="center"/>
              <w:rPr>
                <w:rFonts w:ascii="Times New Roman" w:hAnsi="Times New Roman"/>
                <w:bCs/>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氮氧化物</w:t>
            </w:r>
            <w:r>
              <w:rPr>
                <w:rFonts w:ascii="Times New Roman" w:hAnsi="Times New Roman"/>
                <w:bCs/>
                <w:color w:val="000000" w:themeColor="text1"/>
                <w:sz w:val="18"/>
                <w:szCs w:val="18"/>
              </w:rPr>
              <w:t>*</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0</w:t>
            </w:r>
          </w:p>
        </w:tc>
        <w:tc>
          <w:tcPr>
            <w:tcW w:w="602" w:type="dxa"/>
            <w:vAlign w:val="center"/>
          </w:tcPr>
          <w:p>
            <w:pPr>
              <w:jc w:val="center"/>
              <w:rPr>
                <w:rFonts w:ascii="Times New Roman" w:hAnsi="Times New Roman"/>
                <w:bCs/>
                <w:color w:val="000000" w:themeColor="text1"/>
                <w:sz w:val="18"/>
                <w:szCs w:val="18"/>
              </w:rPr>
            </w:pPr>
          </w:p>
        </w:tc>
        <w:tc>
          <w:tcPr>
            <w:tcW w:w="602" w:type="dxa"/>
            <w:gridSpan w:val="3"/>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0</w:t>
            </w:r>
          </w:p>
        </w:tc>
        <w:tc>
          <w:tcPr>
            <w:tcW w:w="644" w:type="dxa"/>
            <w:gridSpan w:val="3"/>
            <w:vAlign w:val="center"/>
          </w:tcPr>
          <w:p>
            <w:pPr>
              <w:jc w:val="center"/>
              <w:rPr>
                <w:rFonts w:ascii="Times New Roman" w:hAnsi="Times New Roman"/>
                <w:bCs/>
                <w:color w:val="000000" w:themeColor="text1"/>
                <w:sz w:val="18"/>
                <w:szCs w:val="18"/>
              </w:rPr>
            </w:pPr>
          </w:p>
        </w:tc>
        <w:tc>
          <w:tcPr>
            <w:tcW w:w="611" w:type="dxa"/>
            <w:vAlign w:val="center"/>
          </w:tcPr>
          <w:p>
            <w:pPr>
              <w:jc w:val="center"/>
              <w:rPr>
                <w:rFonts w:ascii="Times New Roman" w:hAnsi="Times New Roman"/>
                <w:bCs/>
                <w:color w:val="000000" w:themeColor="text1"/>
                <w:sz w:val="18"/>
                <w:szCs w:val="18"/>
              </w:rPr>
            </w:pPr>
            <w:r>
              <w:rPr>
                <w:rFonts w:ascii="Times New Roman" w:hAnsi="Times New Roman"/>
                <w:bCs/>
                <w:color w:val="000000" w:themeColor="text1"/>
                <w:sz w:val="18"/>
                <w:szCs w:val="18"/>
              </w:rPr>
              <w:t>0</w:t>
            </w:r>
          </w:p>
        </w:tc>
        <w:tc>
          <w:tcPr>
            <w:tcW w:w="672" w:type="dxa"/>
            <w:gridSpan w:val="3"/>
            <w:vAlign w:val="center"/>
          </w:tcPr>
          <w:p>
            <w:pPr>
              <w:jc w:val="center"/>
              <w:rPr>
                <w:rFonts w:ascii="Times New Roman" w:hAnsi="Times New Roman"/>
                <w:bCs/>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Align w:val="center"/>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工业固体废物</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44" w:type="dxa"/>
            <w:vAlign w:val="center"/>
          </w:tcPr>
          <w:p>
            <w:pPr>
              <w:jc w:val="center"/>
              <w:rPr>
                <w:rFonts w:ascii="Times New Roman" w:hAnsi="Times New Roman"/>
                <w:bCs/>
                <w:color w:val="000000" w:themeColor="text1"/>
                <w:sz w:val="18"/>
                <w:szCs w:val="18"/>
              </w:rPr>
            </w:pPr>
          </w:p>
        </w:tc>
        <w:tc>
          <w:tcPr>
            <w:tcW w:w="1243" w:type="dxa"/>
            <w:gridSpan w:val="3"/>
            <w:vAlign w:val="center"/>
          </w:tcPr>
          <w:p>
            <w:pPr>
              <w:jc w:val="center"/>
              <w:rPr>
                <w:rFonts w:ascii="Times New Roman" w:hAnsi="Times New Roman"/>
                <w:bCs/>
                <w:color w:val="000000" w:themeColor="text1"/>
                <w:sz w:val="18"/>
                <w:szCs w:val="18"/>
              </w:rPr>
            </w:pPr>
          </w:p>
        </w:tc>
        <w:tc>
          <w:tcPr>
            <w:tcW w:w="871" w:type="dxa"/>
            <w:gridSpan w:val="3"/>
            <w:vAlign w:val="center"/>
          </w:tcPr>
          <w:p>
            <w:pPr>
              <w:jc w:val="center"/>
              <w:rPr>
                <w:rFonts w:ascii="Times New Roman" w:hAnsi="Times New Roman"/>
                <w:bCs/>
                <w:color w:val="000000" w:themeColor="text1"/>
                <w:sz w:val="18"/>
                <w:szCs w:val="18"/>
              </w:rPr>
            </w:pPr>
          </w:p>
        </w:tc>
        <w:tc>
          <w:tcPr>
            <w:tcW w:w="602" w:type="dxa"/>
            <w:vAlign w:val="center"/>
          </w:tcPr>
          <w:p>
            <w:pPr>
              <w:jc w:val="center"/>
              <w:rPr>
                <w:rFonts w:ascii="Times New Roman" w:hAnsi="Times New Roman"/>
                <w:bCs/>
                <w:color w:val="000000" w:themeColor="text1"/>
                <w:sz w:val="18"/>
                <w:szCs w:val="18"/>
              </w:rPr>
            </w:pPr>
          </w:p>
        </w:tc>
        <w:tc>
          <w:tcPr>
            <w:tcW w:w="602" w:type="dxa"/>
            <w:gridSpan w:val="3"/>
            <w:vAlign w:val="center"/>
          </w:tcPr>
          <w:p>
            <w:pPr>
              <w:jc w:val="center"/>
              <w:rPr>
                <w:rFonts w:ascii="Times New Roman" w:hAnsi="Times New Roman"/>
                <w:bCs/>
                <w:color w:val="000000" w:themeColor="text1"/>
                <w:sz w:val="18"/>
                <w:szCs w:val="18"/>
              </w:rPr>
            </w:pPr>
          </w:p>
        </w:tc>
        <w:tc>
          <w:tcPr>
            <w:tcW w:w="644" w:type="dxa"/>
            <w:gridSpan w:val="3"/>
            <w:vAlign w:val="center"/>
          </w:tcPr>
          <w:p>
            <w:pPr>
              <w:jc w:val="center"/>
              <w:rPr>
                <w:rFonts w:ascii="Times New Roman" w:hAnsi="Times New Roman"/>
                <w:bCs/>
                <w:color w:val="000000" w:themeColor="text1"/>
                <w:sz w:val="18"/>
                <w:szCs w:val="18"/>
              </w:rPr>
            </w:pPr>
          </w:p>
        </w:tc>
        <w:tc>
          <w:tcPr>
            <w:tcW w:w="611" w:type="dxa"/>
            <w:vAlign w:val="center"/>
          </w:tcPr>
          <w:p>
            <w:pPr>
              <w:jc w:val="center"/>
              <w:rPr>
                <w:rFonts w:ascii="Times New Roman" w:hAnsi="Times New Roman"/>
                <w:bCs/>
                <w:color w:val="000000" w:themeColor="text1"/>
                <w:sz w:val="18"/>
                <w:szCs w:val="18"/>
              </w:rPr>
            </w:pPr>
          </w:p>
        </w:tc>
        <w:tc>
          <w:tcPr>
            <w:tcW w:w="672" w:type="dxa"/>
            <w:gridSpan w:val="3"/>
            <w:vAlign w:val="center"/>
          </w:tcPr>
          <w:p>
            <w:pPr>
              <w:jc w:val="center"/>
              <w:rPr>
                <w:rFonts w:ascii="Times New Roman" w:hAnsi="Times New Roman"/>
                <w:bCs/>
                <w:color w:val="000000" w:themeColor="text1"/>
                <w:sz w:val="18"/>
                <w:szCs w:val="18"/>
              </w:rPr>
            </w:pPr>
          </w:p>
        </w:tc>
        <w:tc>
          <w:tcPr>
            <w:tcW w:w="823" w:type="dxa"/>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Merge w:val="restart"/>
          </w:tcPr>
          <w:p>
            <w:pPr>
              <w:jc w:val="center"/>
              <w:rPr>
                <w:rFonts w:ascii="Times New Roman" w:hAnsi="Times New Roman"/>
                <w:bCs/>
                <w:color w:val="000000" w:themeColor="text1"/>
                <w:sz w:val="18"/>
                <w:szCs w:val="18"/>
              </w:rPr>
            </w:pPr>
            <w:r>
              <w:rPr>
                <w:rFonts w:ascii="Times New Roman" w:hAnsi="宋体"/>
                <w:bCs/>
                <w:color w:val="000000" w:themeColor="text1"/>
                <w:sz w:val="18"/>
                <w:szCs w:val="18"/>
              </w:rPr>
              <w:t>与项目有关的其它特征污染物</w:t>
            </w: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58" w:type="dxa"/>
            <w:gridSpan w:val="2"/>
            <w:vAlign w:val="center"/>
          </w:tcPr>
          <w:p>
            <w:pPr>
              <w:jc w:val="center"/>
              <w:rPr>
                <w:rFonts w:ascii="Times New Roman" w:hAnsi="Times New Roman"/>
                <w:bCs/>
                <w:color w:val="000000" w:themeColor="text1"/>
                <w:sz w:val="18"/>
                <w:szCs w:val="18"/>
              </w:rPr>
            </w:pPr>
          </w:p>
        </w:tc>
        <w:tc>
          <w:tcPr>
            <w:tcW w:w="1229" w:type="dxa"/>
            <w:gridSpan w:val="2"/>
            <w:vAlign w:val="center"/>
          </w:tcPr>
          <w:p>
            <w:pPr>
              <w:jc w:val="center"/>
              <w:rPr>
                <w:rFonts w:ascii="Times New Roman" w:hAnsi="Times New Roman"/>
                <w:bCs/>
                <w:color w:val="000000" w:themeColor="text1"/>
                <w:sz w:val="18"/>
                <w:szCs w:val="18"/>
              </w:rPr>
            </w:pPr>
          </w:p>
        </w:tc>
        <w:tc>
          <w:tcPr>
            <w:tcW w:w="863" w:type="dxa"/>
            <w:gridSpan w:val="2"/>
            <w:vAlign w:val="center"/>
          </w:tcPr>
          <w:p>
            <w:pPr>
              <w:jc w:val="center"/>
              <w:rPr>
                <w:rFonts w:ascii="Times New Roman" w:hAnsi="Times New Roman"/>
                <w:bCs/>
                <w:color w:val="000000" w:themeColor="text1"/>
                <w:sz w:val="18"/>
                <w:szCs w:val="18"/>
              </w:rPr>
            </w:pPr>
          </w:p>
        </w:tc>
        <w:tc>
          <w:tcPr>
            <w:tcW w:w="610" w:type="dxa"/>
            <w:gridSpan w:val="2"/>
            <w:vAlign w:val="center"/>
          </w:tcPr>
          <w:p>
            <w:pPr>
              <w:jc w:val="center"/>
              <w:rPr>
                <w:rFonts w:ascii="Times New Roman" w:hAnsi="Times New Roman"/>
                <w:bCs/>
                <w:color w:val="000000" w:themeColor="text1"/>
                <w:sz w:val="18"/>
                <w:szCs w:val="18"/>
              </w:rPr>
            </w:pPr>
          </w:p>
        </w:tc>
        <w:tc>
          <w:tcPr>
            <w:tcW w:w="594" w:type="dxa"/>
            <w:gridSpan w:val="2"/>
            <w:vAlign w:val="center"/>
          </w:tcPr>
          <w:p>
            <w:pPr>
              <w:jc w:val="center"/>
              <w:rPr>
                <w:rFonts w:ascii="Times New Roman" w:hAnsi="Times New Roman"/>
                <w:bCs/>
                <w:color w:val="000000" w:themeColor="text1"/>
                <w:sz w:val="18"/>
                <w:szCs w:val="18"/>
              </w:rPr>
            </w:pPr>
          </w:p>
        </w:tc>
        <w:tc>
          <w:tcPr>
            <w:tcW w:w="644" w:type="dxa"/>
            <w:gridSpan w:val="3"/>
            <w:vAlign w:val="center"/>
          </w:tcPr>
          <w:p>
            <w:pPr>
              <w:jc w:val="center"/>
              <w:rPr>
                <w:rFonts w:ascii="Times New Roman" w:hAnsi="Times New Roman"/>
                <w:bCs/>
                <w:color w:val="000000" w:themeColor="text1"/>
                <w:sz w:val="18"/>
                <w:szCs w:val="18"/>
              </w:rPr>
            </w:pPr>
          </w:p>
        </w:tc>
        <w:tc>
          <w:tcPr>
            <w:tcW w:w="619" w:type="dxa"/>
            <w:gridSpan w:val="2"/>
            <w:vAlign w:val="center"/>
          </w:tcPr>
          <w:p>
            <w:pPr>
              <w:jc w:val="center"/>
              <w:rPr>
                <w:rFonts w:ascii="Times New Roman" w:hAnsi="Times New Roman"/>
                <w:bCs/>
                <w:color w:val="000000" w:themeColor="text1"/>
                <w:sz w:val="18"/>
                <w:szCs w:val="18"/>
              </w:rPr>
            </w:pPr>
          </w:p>
        </w:tc>
        <w:tc>
          <w:tcPr>
            <w:tcW w:w="663" w:type="dxa"/>
            <w:gridSpan w:val="2"/>
            <w:vAlign w:val="center"/>
          </w:tcPr>
          <w:p>
            <w:pPr>
              <w:jc w:val="center"/>
              <w:rPr>
                <w:rFonts w:ascii="Times New Roman" w:hAnsi="Times New Roman"/>
                <w:bCs/>
                <w:color w:val="000000" w:themeColor="text1"/>
                <w:sz w:val="18"/>
                <w:szCs w:val="18"/>
              </w:rPr>
            </w:pPr>
          </w:p>
        </w:tc>
        <w:tc>
          <w:tcPr>
            <w:tcW w:w="832" w:type="dxa"/>
            <w:gridSpan w:val="2"/>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39" w:type="dxa"/>
            <w:vMerge w:val="continue"/>
            <w:vAlign w:val="center"/>
          </w:tcPr>
          <w:p>
            <w:pPr>
              <w:jc w:val="center"/>
              <w:rPr>
                <w:rFonts w:ascii="Times New Roman" w:hAnsi="Times New Roman"/>
                <w:bCs/>
                <w:color w:val="000000" w:themeColor="text1"/>
                <w:sz w:val="18"/>
                <w:szCs w:val="18"/>
              </w:rPr>
            </w:pPr>
          </w:p>
        </w:tc>
        <w:tc>
          <w:tcPr>
            <w:tcW w:w="1487" w:type="dxa"/>
            <w:vMerge w:val="continue"/>
            <w:textDirection w:val="tbRlV"/>
            <w:vAlign w:val="center"/>
          </w:tcPr>
          <w:p>
            <w:pPr>
              <w:jc w:val="center"/>
              <w:rPr>
                <w:rFonts w:ascii="Times New Roman" w:hAnsi="Times New Roman"/>
                <w:bCs/>
                <w:color w:val="000000" w:themeColor="text1"/>
                <w:sz w:val="18"/>
                <w:szCs w:val="18"/>
              </w:rPr>
            </w:pPr>
          </w:p>
        </w:tc>
        <w:tc>
          <w:tcPr>
            <w:tcW w:w="652" w:type="dxa"/>
            <w:vAlign w:val="center"/>
          </w:tcPr>
          <w:p>
            <w:pPr>
              <w:jc w:val="center"/>
              <w:rPr>
                <w:rFonts w:ascii="Times New Roman" w:hAnsi="Times New Roman"/>
                <w:bCs/>
                <w:color w:val="000000" w:themeColor="text1"/>
                <w:sz w:val="18"/>
                <w:szCs w:val="18"/>
              </w:rPr>
            </w:pPr>
          </w:p>
        </w:tc>
        <w:tc>
          <w:tcPr>
            <w:tcW w:w="612" w:type="dxa"/>
            <w:vAlign w:val="center"/>
          </w:tcPr>
          <w:p>
            <w:pPr>
              <w:jc w:val="center"/>
              <w:rPr>
                <w:rFonts w:ascii="Times New Roman" w:hAnsi="Times New Roman"/>
                <w:bCs/>
                <w:color w:val="000000" w:themeColor="text1"/>
                <w:sz w:val="18"/>
                <w:szCs w:val="18"/>
              </w:rPr>
            </w:pPr>
          </w:p>
        </w:tc>
        <w:tc>
          <w:tcPr>
            <w:tcW w:w="658" w:type="dxa"/>
            <w:gridSpan w:val="2"/>
            <w:vAlign w:val="center"/>
          </w:tcPr>
          <w:p>
            <w:pPr>
              <w:jc w:val="center"/>
              <w:rPr>
                <w:rFonts w:ascii="Times New Roman" w:hAnsi="Times New Roman"/>
                <w:bCs/>
                <w:color w:val="000000" w:themeColor="text1"/>
                <w:sz w:val="18"/>
                <w:szCs w:val="18"/>
              </w:rPr>
            </w:pPr>
          </w:p>
        </w:tc>
        <w:tc>
          <w:tcPr>
            <w:tcW w:w="1229" w:type="dxa"/>
            <w:gridSpan w:val="2"/>
            <w:vAlign w:val="center"/>
          </w:tcPr>
          <w:p>
            <w:pPr>
              <w:jc w:val="center"/>
              <w:rPr>
                <w:rFonts w:ascii="Times New Roman" w:hAnsi="Times New Roman"/>
                <w:bCs/>
                <w:color w:val="000000" w:themeColor="text1"/>
                <w:sz w:val="18"/>
                <w:szCs w:val="18"/>
              </w:rPr>
            </w:pPr>
          </w:p>
        </w:tc>
        <w:tc>
          <w:tcPr>
            <w:tcW w:w="863" w:type="dxa"/>
            <w:gridSpan w:val="2"/>
            <w:vAlign w:val="center"/>
          </w:tcPr>
          <w:p>
            <w:pPr>
              <w:jc w:val="center"/>
              <w:rPr>
                <w:rFonts w:ascii="Times New Roman" w:hAnsi="Times New Roman"/>
                <w:bCs/>
                <w:color w:val="000000" w:themeColor="text1"/>
                <w:sz w:val="18"/>
                <w:szCs w:val="18"/>
              </w:rPr>
            </w:pPr>
          </w:p>
        </w:tc>
        <w:tc>
          <w:tcPr>
            <w:tcW w:w="610" w:type="dxa"/>
            <w:gridSpan w:val="2"/>
            <w:vAlign w:val="center"/>
          </w:tcPr>
          <w:p>
            <w:pPr>
              <w:jc w:val="center"/>
              <w:rPr>
                <w:rFonts w:ascii="Times New Roman" w:hAnsi="Times New Roman"/>
                <w:bCs/>
                <w:color w:val="000000" w:themeColor="text1"/>
                <w:sz w:val="18"/>
                <w:szCs w:val="18"/>
              </w:rPr>
            </w:pPr>
          </w:p>
        </w:tc>
        <w:tc>
          <w:tcPr>
            <w:tcW w:w="594" w:type="dxa"/>
            <w:gridSpan w:val="2"/>
            <w:vAlign w:val="center"/>
          </w:tcPr>
          <w:p>
            <w:pPr>
              <w:jc w:val="center"/>
              <w:rPr>
                <w:rFonts w:ascii="Times New Roman" w:hAnsi="Times New Roman"/>
                <w:bCs/>
                <w:color w:val="000000" w:themeColor="text1"/>
                <w:sz w:val="18"/>
                <w:szCs w:val="18"/>
              </w:rPr>
            </w:pPr>
          </w:p>
        </w:tc>
        <w:tc>
          <w:tcPr>
            <w:tcW w:w="644" w:type="dxa"/>
            <w:gridSpan w:val="3"/>
            <w:vAlign w:val="center"/>
          </w:tcPr>
          <w:p>
            <w:pPr>
              <w:jc w:val="center"/>
              <w:rPr>
                <w:rFonts w:ascii="Times New Roman" w:hAnsi="Times New Roman"/>
                <w:bCs/>
                <w:color w:val="000000" w:themeColor="text1"/>
                <w:sz w:val="18"/>
                <w:szCs w:val="18"/>
              </w:rPr>
            </w:pPr>
          </w:p>
        </w:tc>
        <w:tc>
          <w:tcPr>
            <w:tcW w:w="619" w:type="dxa"/>
            <w:gridSpan w:val="2"/>
            <w:vAlign w:val="center"/>
          </w:tcPr>
          <w:p>
            <w:pPr>
              <w:jc w:val="center"/>
              <w:rPr>
                <w:rFonts w:ascii="Times New Roman" w:hAnsi="Times New Roman"/>
                <w:bCs/>
                <w:color w:val="000000" w:themeColor="text1"/>
                <w:sz w:val="18"/>
                <w:szCs w:val="18"/>
              </w:rPr>
            </w:pPr>
          </w:p>
        </w:tc>
        <w:tc>
          <w:tcPr>
            <w:tcW w:w="663" w:type="dxa"/>
            <w:gridSpan w:val="2"/>
            <w:vAlign w:val="center"/>
          </w:tcPr>
          <w:p>
            <w:pPr>
              <w:jc w:val="center"/>
              <w:rPr>
                <w:rFonts w:ascii="Times New Roman" w:hAnsi="Times New Roman"/>
                <w:bCs/>
                <w:color w:val="000000" w:themeColor="text1"/>
                <w:sz w:val="18"/>
                <w:szCs w:val="18"/>
              </w:rPr>
            </w:pPr>
          </w:p>
        </w:tc>
        <w:tc>
          <w:tcPr>
            <w:tcW w:w="832" w:type="dxa"/>
            <w:gridSpan w:val="2"/>
            <w:vAlign w:val="center"/>
          </w:tcPr>
          <w:p>
            <w:pPr>
              <w:jc w:val="center"/>
              <w:rPr>
                <w:rFonts w:ascii="Times New Roman" w:hAnsi="Times New Roman"/>
                <w:bCs/>
                <w:color w:val="000000" w:themeColor="text1"/>
                <w:sz w:val="18"/>
                <w:szCs w:val="18"/>
              </w:rPr>
            </w:pPr>
          </w:p>
        </w:tc>
        <w:tc>
          <w:tcPr>
            <w:tcW w:w="770" w:type="dxa"/>
            <w:vAlign w:val="center"/>
          </w:tcPr>
          <w:p>
            <w:pPr>
              <w:jc w:val="center"/>
              <w:rPr>
                <w:rFonts w:ascii="Times New Roman" w:hAnsi="Times New Roman"/>
                <w:bCs/>
                <w:color w:val="000000" w:themeColor="text1"/>
                <w:sz w:val="18"/>
                <w:szCs w:val="18"/>
              </w:rPr>
            </w:pPr>
          </w:p>
        </w:tc>
        <w:tc>
          <w:tcPr>
            <w:tcW w:w="801" w:type="dxa"/>
            <w:vAlign w:val="center"/>
          </w:tcPr>
          <w:p>
            <w:pPr>
              <w:jc w:val="center"/>
              <w:rPr>
                <w:rFonts w:ascii="Times New Roman" w:hAnsi="Times New Roman"/>
                <w:bCs/>
                <w:color w:val="000000" w:themeColor="text1"/>
                <w:sz w:val="18"/>
                <w:szCs w:val="18"/>
              </w:rPr>
            </w:pPr>
          </w:p>
        </w:tc>
        <w:tc>
          <w:tcPr>
            <w:tcW w:w="733" w:type="dxa"/>
            <w:gridSpan w:val="2"/>
            <w:vAlign w:val="center"/>
          </w:tcPr>
          <w:p>
            <w:pPr>
              <w:jc w:val="center"/>
              <w:rPr>
                <w:rFonts w:ascii="Times New Roman" w:hAnsi="Times New Roman"/>
                <w:bCs/>
                <w:color w:val="000000" w:themeColor="text1"/>
                <w:sz w:val="18"/>
                <w:szCs w:val="18"/>
              </w:rPr>
            </w:pPr>
          </w:p>
        </w:tc>
        <w:tc>
          <w:tcPr>
            <w:tcW w:w="2697" w:type="dxa"/>
            <w:gridSpan w:val="2"/>
            <w:vAlign w:val="center"/>
          </w:tcPr>
          <w:p>
            <w:pPr>
              <w:jc w:val="center"/>
              <w:rPr>
                <w:rFonts w:ascii="Times New Roman" w:hAnsi="Times New Roman"/>
                <w:bCs/>
                <w:color w:val="000000" w:themeColor="text1"/>
                <w:sz w:val="18"/>
                <w:szCs w:val="18"/>
              </w:rPr>
            </w:pPr>
          </w:p>
        </w:tc>
      </w:tr>
    </w:tbl>
    <w:p>
      <w:pPr>
        <w:adjustRightInd w:val="0"/>
        <w:snapToGrid w:val="0"/>
        <w:rPr>
          <w:rFonts w:ascii="Times New Roman" w:hAnsi="Times New Roman"/>
          <w:bCs/>
          <w:color w:val="000000" w:themeColor="text1"/>
          <w:sz w:val="15"/>
          <w:szCs w:val="15"/>
        </w:rPr>
      </w:pPr>
      <w:r>
        <w:rPr>
          <w:rFonts w:ascii="Times New Roman" w:hAnsi="宋体"/>
          <w:bCs/>
          <w:color w:val="000000" w:themeColor="text1"/>
          <w:sz w:val="15"/>
        </w:rPr>
        <w:t>注：</w:t>
      </w:r>
      <w:r>
        <w:rPr>
          <w:rFonts w:ascii="Times New Roman" w:hAnsi="Times New Roman"/>
          <w:bCs/>
          <w:color w:val="000000" w:themeColor="text1"/>
          <w:sz w:val="15"/>
        </w:rPr>
        <w:t>1</w:t>
      </w:r>
      <w:r>
        <w:rPr>
          <w:rFonts w:ascii="Times New Roman" w:hAnsi="宋体"/>
          <w:bCs/>
          <w:color w:val="000000" w:themeColor="text1"/>
          <w:sz w:val="15"/>
        </w:rPr>
        <w:t>、</w:t>
      </w:r>
      <w:r>
        <w:rPr>
          <w:rFonts w:ascii="Times New Roman" w:hAnsi="Times New Roman"/>
          <w:bCs/>
          <w:color w:val="000000" w:themeColor="text1"/>
          <w:sz w:val="15"/>
        </w:rPr>
        <w:t>*</w:t>
      </w:r>
      <w:r>
        <w:rPr>
          <w:rFonts w:ascii="Times New Roman" w:hAnsi="宋体"/>
          <w:bCs/>
          <w:color w:val="000000" w:themeColor="text1"/>
          <w:sz w:val="15"/>
        </w:rPr>
        <w:t>为</w:t>
      </w:r>
      <w:r>
        <w:rPr>
          <w:rFonts w:ascii="Times New Roman" w:hAnsi="Times New Roman"/>
          <w:bCs/>
          <w:color w:val="000000" w:themeColor="text1"/>
          <w:sz w:val="15"/>
        </w:rPr>
        <w:t>“</w:t>
      </w:r>
      <w:r>
        <w:rPr>
          <w:rFonts w:ascii="Times New Roman" w:hAnsi="宋体"/>
          <w:bCs/>
          <w:color w:val="000000" w:themeColor="text1"/>
          <w:sz w:val="15"/>
        </w:rPr>
        <w:t>十二五</w:t>
      </w:r>
      <w:r>
        <w:rPr>
          <w:rFonts w:ascii="Times New Roman" w:hAnsi="Times New Roman"/>
          <w:bCs/>
          <w:color w:val="000000" w:themeColor="text1"/>
          <w:sz w:val="15"/>
        </w:rPr>
        <w:t>”</w:t>
      </w:r>
      <w:r>
        <w:rPr>
          <w:rFonts w:ascii="Times New Roman" w:hAnsi="宋体"/>
          <w:bCs/>
          <w:color w:val="000000" w:themeColor="text1"/>
          <w:sz w:val="15"/>
        </w:rPr>
        <w:t>期间国家实行排放总量控制的污染物，</w:t>
      </w:r>
      <w:r>
        <w:rPr>
          <w:rFonts w:ascii="Times New Roman" w:hAnsi="宋体"/>
          <w:color w:val="000000" w:themeColor="text1"/>
          <w:sz w:val="15"/>
          <w:szCs w:val="15"/>
        </w:rPr>
        <w:t>化学需氧量</w:t>
      </w:r>
      <w:r>
        <w:rPr>
          <w:rFonts w:ascii="Times New Roman" w:hAnsi="Times New Roman"/>
          <w:color w:val="000000" w:themeColor="text1"/>
          <w:sz w:val="15"/>
          <w:szCs w:val="15"/>
        </w:rPr>
        <w:t>COD</w:t>
      </w:r>
      <w:r>
        <w:rPr>
          <w:rFonts w:ascii="Times New Roman" w:hAnsi="宋体"/>
          <w:color w:val="000000" w:themeColor="text1"/>
          <w:sz w:val="15"/>
          <w:szCs w:val="15"/>
        </w:rPr>
        <w:t>和</w:t>
      </w:r>
      <w:r>
        <w:rPr>
          <w:rFonts w:ascii="Times New Roman" w:hAnsi="宋体"/>
          <w:bCs/>
          <w:color w:val="000000" w:themeColor="text1"/>
          <w:sz w:val="15"/>
          <w:szCs w:val="15"/>
        </w:rPr>
        <w:t>氨氮</w:t>
      </w:r>
      <w:r>
        <w:rPr>
          <w:rFonts w:ascii="Times New Roman" w:hAnsi="宋体"/>
          <w:color w:val="000000" w:themeColor="text1"/>
          <w:sz w:val="15"/>
          <w:szCs w:val="15"/>
        </w:rPr>
        <w:t>是指工业废水的</w:t>
      </w:r>
      <w:r>
        <w:rPr>
          <w:rFonts w:ascii="Times New Roman" w:hAnsi="Times New Roman"/>
          <w:color w:val="000000" w:themeColor="text1"/>
          <w:sz w:val="15"/>
          <w:szCs w:val="15"/>
        </w:rPr>
        <w:t>,</w:t>
      </w:r>
      <w:r>
        <w:rPr>
          <w:rFonts w:ascii="Times New Roman" w:hAnsi="宋体"/>
          <w:color w:val="000000" w:themeColor="text1"/>
          <w:sz w:val="15"/>
          <w:szCs w:val="15"/>
        </w:rPr>
        <w:t>不包含生活废水的。</w:t>
      </w:r>
    </w:p>
    <w:p>
      <w:pPr>
        <w:adjustRightInd w:val="0"/>
        <w:snapToGrid w:val="0"/>
        <w:ind w:firstLine="300" w:firstLineChars="200"/>
        <w:rPr>
          <w:rFonts w:ascii="Times New Roman" w:hAnsi="Times New Roman"/>
          <w:bCs/>
          <w:color w:val="000000" w:themeColor="text1"/>
          <w:sz w:val="15"/>
        </w:rPr>
      </w:pPr>
      <w:r>
        <w:rPr>
          <w:rFonts w:ascii="Times New Roman" w:hAnsi="Times New Roman"/>
          <w:bCs/>
          <w:color w:val="000000" w:themeColor="text1"/>
          <w:sz w:val="15"/>
        </w:rPr>
        <w:t>2</w:t>
      </w:r>
      <w:r>
        <w:rPr>
          <w:rFonts w:ascii="Times New Roman" w:hAnsi="宋体"/>
          <w:bCs/>
          <w:color w:val="000000" w:themeColor="text1"/>
          <w:sz w:val="15"/>
        </w:rPr>
        <w:t>、排放增减量：（</w:t>
      </w:r>
      <w:r>
        <w:rPr>
          <w:rFonts w:ascii="Times New Roman" w:hAnsi="Times New Roman"/>
          <w:bCs/>
          <w:color w:val="000000" w:themeColor="text1"/>
          <w:sz w:val="15"/>
        </w:rPr>
        <w:t>+</w:t>
      </w:r>
      <w:r>
        <w:rPr>
          <w:rFonts w:ascii="Times New Roman" w:hAnsi="宋体"/>
          <w:bCs/>
          <w:color w:val="000000" w:themeColor="text1"/>
          <w:sz w:val="15"/>
        </w:rPr>
        <w:t>）表示增加，（</w:t>
      </w:r>
      <w:r>
        <w:rPr>
          <w:rFonts w:ascii="Times New Roman" w:hAnsi="Times New Roman"/>
          <w:bCs/>
          <w:color w:val="000000" w:themeColor="text1"/>
          <w:sz w:val="15"/>
        </w:rPr>
        <w:t>-</w:t>
      </w:r>
      <w:r>
        <w:rPr>
          <w:rFonts w:ascii="Times New Roman" w:hAnsi="宋体"/>
          <w:bCs/>
          <w:color w:val="000000" w:themeColor="text1"/>
          <w:sz w:val="15"/>
        </w:rPr>
        <w:t>）表示减少</w:t>
      </w:r>
    </w:p>
    <w:p>
      <w:pPr>
        <w:adjustRightInd w:val="0"/>
        <w:snapToGrid w:val="0"/>
        <w:ind w:firstLine="300" w:firstLineChars="200"/>
        <w:rPr>
          <w:rFonts w:ascii="Times New Roman" w:hAnsi="Times New Roman"/>
          <w:bCs/>
          <w:color w:val="000000" w:themeColor="text1"/>
          <w:spacing w:val="-6"/>
          <w:sz w:val="15"/>
        </w:rPr>
      </w:pPr>
      <w:r>
        <w:rPr>
          <w:rFonts w:ascii="Times New Roman" w:hAnsi="Times New Roman"/>
          <w:bCs/>
          <w:color w:val="000000" w:themeColor="text1"/>
          <w:sz w:val="15"/>
        </w:rPr>
        <w:t>3</w:t>
      </w:r>
      <w:r>
        <w:rPr>
          <w:rFonts w:ascii="Times New Roman" w:hAnsi="宋体"/>
          <w:bCs/>
          <w:color w:val="000000" w:themeColor="text1"/>
          <w:sz w:val="15"/>
        </w:rPr>
        <w:t>、</w:t>
      </w:r>
      <w:r>
        <w:rPr>
          <w:rFonts w:ascii="Times New Roman" w:hAnsi="宋体"/>
          <w:bCs/>
          <w:color w:val="000000" w:themeColor="text1"/>
          <w:spacing w:val="-6"/>
          <w:sz w:val="15"/>
        </w:rPr>
        <w:t>计量单位：废水排放量</w:t>
      </w:r>
      <w:r>
        <w:rPr>
          <w:rFonts w:ascii="Times New Roman" w:hAnsi="Times New Roman"/>
          <w:bCs/>
          <w:color w:val="000000" w:themeColor="text1"/>
          <w:spacing w:val="-6"/>
          <w:sz w:val="15"/>
        </w:rPr>
        <w:t>——</w:t>
      </w:r>
      <w:r>
        <w:rPr>
          <w:rFonts w:ascii="Times New Roman" w:hAnsi="宋体"/>
          <w:bCs/>
          <w:color w:val="000000" w:themeColor="text1"/>
          <w:spacing w:val="-6"/>
          <w:sz w:val="15"/>
        </w:rPr>
        <w:t>万吨</w:t>
      </w:r>
      <w:r>
        <w:rPr>
          <w:rFonts w:ascii="Times New Roman" w:hAnsi="Times New Roman"/>
          <w:bCs/>
          <w:color w:val="000000" w:themeColor="text1"/>
          <w:spacing w:val="-6"/>
          <w:sz w:val="15"/>
        </w:rPr>
        <w:t>/</w:t>
      </w:r>
      <w:r>
        <w:rPr>
          <w:rFonts w:ascii="Times New Roman" w:hAnsi="宋体"/>
          <w:bCs/>
          <w:color w:val="000000" w:themeColor="text1"/>
          <w:spacing w:val="-6"/>
          <w:sz w:val="15"/>
        </w:rPr>
        <w:t>年；废气排放量</w:t>
      </w:r>
      <w:r>
        <w:rPr>
          <w:rFonts w:ascii="Times New Roman" w:hAnsi="Times New Roman"/>
          <w:bCs/>
          <w:color w:val="000000" w:themeColor="text1"/>
          <w:spacing w:val="-6"/>
          <w:sz w:val="15"/>
        </w:rPr>
        <w:t>——</w:t>
      </w:r>
      <w:r>
        <w:rPr>
          <w:rFonts w:ascii="Times New Roman" w:hAnsi="宋体"/>
          <w:bCs/>
          <w:color w:val="000000" w:themeColor="text1"/>
          <w:spacing w:val="-6"/>
          <w:sz w:val="15"/>
        </w:rPr>
        <w:t>万标立方米</w:t>
      </w:r>
      <w:r>
        <w:rPr>
          <w:rFonts w:ascii="Times New Roman" w:hAnsi="Times New Roman"/>
          <w:bCs/>
          <w:color w:val="000000" w:themeColor="text1"/>
          <w:spacing w:val="-6"/>
          <w:sz w:val="15"/>
        </w:rPr>
        <w:t>/</w:t>
      </w:r>
      <w:r>
        <w:rPr>
          <w:rFonts w:ascii="Times New Roman" w:hAnsi="宋体"/>
          <w:bCs/>
          <w:color w:val="000000" w:themeColor="text1"/>
          <w:spacing w:val="-6"/>
          <w:sz w:val="15"/>
        </w:rPr>
        <w:t>年；工业固体废物排放量</w:t>
      </w:r>
      <w:r>
        <w:rPr>
          <w:rFonts w:ascii="Times New Roman" w:hAnsi="Times New Roman"/>
          <w:bCs/>
          <w:color w:val="000000" w:themeColor="text1"/>
          <w:spacing w:val="-6"/>
          <w:sz w:val="15"/>
        </w:rPr>
        <w:t>——</w:t>
      </w:r>
      <w:r>
        <w:rPr>
          <w:rFonts w:ascii="Times New Roman" w:hAnsi="宋体"/>
          <w:bCs/>
          <w:color w:val="000000" w:themeColor="text1"/>
          <w:spacing w:val="-6"/>
          <w:sz w:val="15"/>
        </w:rPr>
        <w:t>万吨</w:t>
      </w:r>
      <w:r>
        <w:rPr>
          <w:rFonts w:ascii="Times New Roman" w:hAnsi="Times New Roman"/>
          <w:bCs/>
          <w:color w:val="000000" w:themeColor="text1"/>
          <w:spacing w:val="-6"/>
          <w:sz w:val="15"/>
        </w:rPr>
        <w:t>/</w:t>
      </w:r>
      <w:r>
        <w:rPr>
          <w:rFonts w:ascii="Times New Roman" w:hAnsi="宋体"/>
          <w:bCs/>
          <w:color w:val="000000" w:themeColor="text1"/>
          <w:spacing w:val="-6"/>
          <w:sz w:val="15"/>
        </w:rPr>
        <w:t>年；</w:t>
      </w:r>
      <w:r>
        <w:rPr>
          <w:rFonts w:ascii="Times New Roman" w:hAnsi="Times New Roman"/>
          <w:bCs/>
          <w:color w:val="000000" w:themeColor="text1"/>
          <w:spacing w:val="-6"/>
          <w:sz w:val="15"/>
        </w:rPr>
        <w:t xml:space="preserve"> </w:t>
      </w:r>
      <w:r>
        <w:rPr>
          <w:rFonts w:ascii="Times New Roman" w:hAnsi="宋体"/>
          <w:bCs/>
          <w:color w:val="000000" w:themeColor="text1"/>
          <w:spacing w:val="-6"/>
          <w:sz w:val="15"/>
        </w:rPr>
        <w:t>水污染物排放浓度</w:t>
      </w:r>
      <w:r>
        <w:rPr>
          <w:rFonts w:ascii="Times New Roman" w:hAnsi="Times New Roman"/>
          <w:bCs/>
          <w:color w:val="000000" w:themeColor="text1"/>
          <w:spacing w:val="-6"/>
          <w:sz w:val="15"/>
        </w:rPr>
        <w:t>——</w:t>
      </w:r>
      <w:r>
        <w:rPr>
          <w:rFonts w:ascii="Times New Roman" w:hAnsi="宋体"/>
          <w:bCs/>
          <w:color w:val="000000" w:themeColor="text1"/>
          <w:spacing w:val="-6"/>
          <w:sz w:val="15"/>
        </w:rPr>
        <w:t>毫克</w:t>
      </w:r>
      <w:r>
        <w:rPr>
          <w:rFonts w:ascii="Times New Roman" w:hAnsi="Times New Roman"/>
          <w:bCs/>
          <w:color w:val="000000" w:themeColor="text1"/>
          <w:spacing w:val="-6"/>
          <w:sz w:val="15"/>
        </w:rPr>
        <w:t>/</w:t>
      </w:r>
      <w:r>
        <w:rPr>
          <w:rFonts w:ascii="Times New Roman" w:hAnsi="宋体"/>
          <w:bCs/>
          <w:color w:val="000000" w:themeColor="text1"/>
          <w:spacing w:val="-6"/>
          <w:sz w:val="15"/>
        </w:rPr>
        <w:t>升；大气污染物排放浓度</w:t>
      </w:r>
      <w:r>
        <w:rPr>
          <w:rFonts w:ascii="Times New Roman" w:hAnsi="Times New Roman"/>
          <w:bCs/>
          <w:color w:val="000000" w:themeColor="text1"/>
          <w:spacing w:val="-6"/>
          <w:sz w:val="15"/>
        </w:rPr>
        <w:t>——</w:t>
      </w:r>
      <w:r>
        <w:rPr>
          <w:rFonts w:ascii="Times New Roman" w:hAnsi="宋体"/>
          <w:bCs/>
          <w:color w:val="000000" w:themeColor="text1"/>
          <w:spacing w:val="-6"/>
          <w:sz w:val="15"/>
        </w:rPr>
        <w:t>毫克</w:t>
      </w:r>
      <w:r>
        <w:rPr>
          <w:rFonts w:ascii="Times New Roman" w:hAnsi="Times New Roman"/>
          <w:bCs/>
          <w:color w:val="000000" w:themeColor="text1"/>
          <w:spacing w:val="-6"/>
          <w:sz w:val="15"/>
        </w:rPr>
        <w:t>/</w:t>
      </w:r>
      <w:r>
        <w:rPr>
          <w:rFonts w:ascii="Times New Roman" w:hAnsi="宋体"/>
          <w:bCs/>
          <w:color w:val="000000" w:themeColor="text1"/>
          <w:spacing w:val="-6"/>
          <w:sz w:val="15"/>
        </w:rPr>
        <w:t>立方米</w:t>
      </w:r>
      <w:r>
        <w:rPr>
          <w:rFonts w:ascii="Times New Roman" w:hAnsi="宋体"/>
          <w:bCs/>
          <w:color w:val="000000" w:themeColor="text1"/>
          <w:spacing w:val="-6"/>
        </w:rPr>
        <w:t>；</w:t>
      </w:r>
      <w:r>
        <w:rPr>
          <w:rFonts w:ascii="Times New Roman" w:hAnsi="宋体"/>
          <w:bCs/>
          <w:color w:val="000000" w:themeColor="text1"/>
          <w:spacing w:val="-6"/>
          <w:sz w:val="15"/>
        </w:rPr>
        <w:t>水污染物排放量</w:t>
      </w:r>
      <w:r>
        <w:rPr>
          <w:rFonts w:ascii="Times New Roman" w:hAnsi="Times New Roman"/>
          <w:bCs/>
          <w:color w:val="000000" w:themeColor="text1"/>
          <w:spacing w:val="-6"/>
          <w:sz w:val="15"/>
        </w:rPr>
        <w:t>——</w:t>
      </w:r>
      <w:r>
        <w:rPr>
          <w:rFonts w:ascii="Times New Roman" w:hAnsi="宋体"/>
          <w:bCs/>
          <w:color w:val="000000" w:themeColor="text1"/>
          <w:spacing w:val="-6"/>
          <w:sz w:val="15"/>
        </w:rPr>
        <w:t>吨</w:t>
      </w:r>
      <w:r>
        <w:rPr>
          <w:rFonts w:ascii="Times New Roman" w:hAnsi="Times New Roman"/>
          <w:bCs/>
          <w:color w:val="000000" w:themeColor="text1"/>
          <w:spacing w:val="-6"/>
          <w:sz w:val="15"/>
        </w:rPr>
        <w:t>/</w:t>
      </w:r>
      <w:r>
        <w:rPr>
          <w:rFonts w:ascii="Times New Roman" w:hAnsi="宋体"/>
          <w:bCs/>
          <w:color w:val="000000" w:themeColor="text1"/>
          <w:spacing w:val="-6"/>
          <w:sz w:val="15"/>
        </w:rPr>
        <w:t>年；大气污染物排放量</w:t>
      </w:r>
      <w:r>
        <w:rPr>
          <w:rFonts w:ascii="Times New Roman" w:hAnsi="Times New Roman"/>
          <w:bCs/>
          <w:color w:val="000000" w:themeColor="text1"/>
          <w:spacing w:val="-6"/>
          <w:sz w:val="15"/>
        </w:rPr>
        <w:t>——</w:t>
      </w:r>
      <w:r>
        <w:rPr>
          <w:rFonts w:ascii="Times New Roman" w:hAnsi="宋体"/>
          <w:bCs/>
          <w:color w:val="000000" w:themeColor="text1"/>
          <w:spacing w:val="-6"/>
          <w:sz w:val="15"/>
        </w:rPr>
        <w:t>吨</w:t>
      </w:r>
      <w:r>
        <w:rPr>
          <w:rFonts w:ascii="Times New Roman" w:hAnsi="Times New Roman"/>
          <w:bCs/>
          <w:color w:val="000000" w:themeColor="text1"/>
          <w:spacing w:val="-6"/>
          <w:sz w:val="15"/>
        </w:rPr>
        <w:t>/</w:t>
      </w:r>
      <w:r>
        <w:rPr>
          <w:rFonts w:ascii="Times New Roman" w:hAnsi="宋体"/>
          <w:bCs/>
          <w:color w:val="000000" w:themeColor="text1"/>
          <w:spacing w:val="-6"/>
          <w:sz w:val="15"/>
        </w:rPr>
        <w:t>年</w:t>
      </w:r>
    </w:p>
    <w:sectPr>
      <w:headerReference r:id="rId10" w:type="default"/>
      <w:footerReference r:id="rId11" w:type="default"/>
      <w:pgSz w:w="16838" w:h="11906" w:orient="landscape"/>
      <w:pgMar w:top="1134" w:right="1440" w:bottom="1134" w:left="1440" w:header="851" w:footer="992" w:gutter="57"/>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SimSun+1">
    <w:altName w:val="Times New Roman"/>
    <w:panose1 w:val="00000000000000000000"/>
    <w:charset w:val="00"/>
    <w:family w:val="auto"/>
    <w:pitch w:val="default"/>
    <w:sig w:usb0="00000000" w:usb1="00000000" w:usb2="00000010" w:usb3="00000000" w:csb0="00040001" w:csb1="00000000"/>
  </w:font>
  <w:font w:name="SimSun+3">
    <w:altName w:val="黑体"/>
    <w:panose1 w:val="00000000000000000000"/>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CG Times (WN)">
    <w:altName w:val="Times New Roman"/>
    <w:panose1 w:val="00000000000000000000"/>
    <w:charset w:val="00"/>
    <w:family w:val="roman"/>
    <w:pitch w:val="default"/>
    <w:sig w:usb0="00000000" w:usb1="00000000" w:usb2="00000000" w:usb3="00000000" w:csb0="00000001" w:csb1="00000000"/>
  </w:font>
  <w:font w:name="Impact">
    <w:panose1 w:val="020B0806030902050204"/>
    <w:charset w:val="00"/>
    <w:family w:val="swiss"/>
    <w:pitch w:val="default"/>
    <w:sig w:usb0="00000287" w:usb1="00000000" w:usb2="00000000" w:usb3="00000000" w:csb0="2000009F" w:csb1="DFD7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4"/>
      </w:rPr>
    </w:pPr>
  </w:p>
  <w:p>
    <w:pPr>
      <w:ind w:right="360"/>
    </w:pPr>
    <w:r>
      <w:rPr>
        <w:rFonts w:hint="eastAsia"/>
        <w:kern w:val="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end"/>
    </w:r>
  </w:p>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page" w:x="6370" w:y="26"/>
      <w:jc w:val="center"/>
      <w:rPr>
        <w:rStyle w:val="24"/>
      </w:rPr>
    </w:pPr>
    <w:r>
      <w:fldChar w:fldCharType="begin"/>
    </w:r>
    <w:r>
      <w:rPr>
        <w:rStyle w:val="24"/>
      </w:rPr>
      <w:instrText xml:space="preserve">PAGE  </w:instrText>
    </w:r>
    <w:r>
      <w:fldChar w:fldCharType="separate"/>
    </w:r>
    <w:r>
      <w:rPr>
        <w:rStyle w:val="24"/>
      </w:rPr>
      <w:t>40</w:t>
    </w:r>
    <w:r>
      <w:fldChar w:fldCharType="end"/>
    </w:r>
  </w:p>
  <w:p>
    <w:pPr>
      <w:pStyle w:val="15"/>
      <w:framePr w:wrap="around" w:vAnchor="text" w:hAnchor="margin" w:xAlign="right" w:y="1"/>
      <w:rPr>
        <w:rStyle w:val="24"/>
      </w:rPr>
    </w:pPr>
  </w:p>
  <w:p>
    <w:pPr>
      <w:ind w:right="360"/>
    </w:pPr>
    <w:r>
      <w:rPr>
        <w:rFonts w:hint="eastAsia"/>
        <w:kern w:val="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separate"/>
    </w:r>
    <w:r>
      <w:rPr>
        <w:rStyle w:val="24"/>
      </w:rPr>
      <w:t>1</w:t>
    </w:r>
    <w:r>
      <w:fldChar w:fldCharType="end"/>
    </w:r>
  </w:p>
  <w:p>
    <w:pPr>
      <w:pStyle w:val="1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separate"/>
    </w:r>
    <w:r>
      <w:rPr>
        <w:rStyle w:val="24"/>
      </w:rPr>
      <w:t>46</w:t>
    </w:r>
    <w:r>
      <w:fldChar w:fldCharType="end"/>
    </w:r>
  </w:p>
  <w:p>
    <w:r>
      <w:rPr>
        <w:rFonts w:hint="eastAsia"/>
        <w:kern w:val="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56D0"/>
    <w:rsid w:val="00000348"/>
    <w:rsid w:val="00001B5B"/>
    <w:rsid w:val="00005194"/>
    <w:rsid w:val="0000730D"/>
    <w:rsid w:val="000074EF"/>
    <w:rsid w:val="000100BA"/>
    <w:rsid w:val="00013857"/>
    <w:rsid w:val="000154AB"/>
    <w:rsid w:val="000175D5"/>
    <w:rsid w:val="00023704"/>
    <w:rsid w:val="00023A71"/>
    <w:rsid w:val="00025DA2"/>
    <w:rsid w:val="00032B04"/>
    <w:rsid w:val="00032C27"/>
    <w:rsid w:val="00033C9D"/>
    <w:rsid w:val="00034073"/>
    <w:rsid w:val="0003516A"/>
    <w:rsid w:val="000351C6"/>
    <w:rsid w:val="00035FCA"/>
    <w:rsid w:val="00036022"/>
    <w:rsid w:val="00042C40"/>
    <w:rsid w:val="00043CA9"/>
    <w:rsid w:val="00043FDC"/>
    <w:rsid w:val="00044518"/>
    <w:rsid w:val="00044F82"/>
    <w:rsid w:val="00045208"/>
    <w:rsid w:val="000454A0"/>
    <w:rsid w:val="00046711"/>
    <w:rsid w:val="00050B56"/>
    <w:rsid w:val="00050D54"/>
    <w:rsid w:val="00053A10"/>
    <w:rsid w:val="000558EA"/>
    <w:rsid w:val="00056038"/>
    <w:rsid w:val="0006030C"/>
    <w:rsid w:val="00060925"/>
    <w:rsid w:val="00063CC8"/>
    <w:rsid w:val="000665D0"/>
    <w:rsid w:val="0006740F"/>
    <w:rsid w:val="000703D1"/>
    <w:rsid w:val="00072C9D"/>
    <w:rsid w:val="000734A4"/>
    <w:rsid w:val="00073EE9"/>
    <w:rsid w:val="00080CE7"/>
    <w:rsid w:val="00082F52"/>
    <w:rsid w:val="0008495B"/>
    <w:rsid w:val="0009103D"/>
    <w:rsid w:val="00091BAF"/>
    <w:rsid w:val="00095D28"/>
    <w:rsid w:val="00096629"/>
    <w:rsid w:val="00097280"/>
    <w:rsid w:val="000A2EFB"/>
    <w:rsid w:val="000A30FF"/>
    <w:rsid w:val="000A7509"/>
    <w:rsid w:val="000B0F2B"/>
    <w:rsid w:val="000B15ED"/>
    <w:rsid w:val="000B4903"/>
    <w:rsid w:val="000B49B5"/>
    <w:rsid w:val="000B4F00"/>
    <w:rsid w:val="000C3541"/>
    <w:rsid w:val="000C3807"/>
    <w:rsid w:val="000C5997"/>
    <w:rsid w:val="000C6279"/>
    <w:rsid w:val="000D1F77"/>
    <w:rsid w:val="000D378E"/>
    <w:rsid w:val="000D381B"/>
    <w:rsid w:val="000D433B"/>
    <w:rsid w:val="000D43CE"/>
    <w:rsid w:val="000D605E"/>
    <w:rsid w:val="000D6454"/>
    <w:rsid w:val="000D6A07"/>
    <w:rsid w:val="000D7B67"/>
    <w:rsid w:val="000E0844"/>
    <w:rsid w:val="000E2376"/>
    <w:rsid w:val="000E2487"/>
    <w:rsid w:val="000E3F4A"/>
    <w:rsid w:val="000E7168"/>
    <w:rsid w:val="000E7640"/>
    <w:rsid w:val="000F1D9C"/>
    <w:rsid w:val="000F3394"/>
    <w:rsid w:val="000F35EC"/>
    <w:rsid w:val="000F44A9"/>
    <w:rsid w:val="000F535F"/>
    <w:rsid w:val="00103AAA"/>
    <w:rsid w:val="001041ED"/>
    <w:rsid w:val="001044E0"/>
    <w:rsid w:val="00105289"/>
    <w:rsid w:val="0010620C"/>
    <w:rsid w:val="00113DE0"/>
    <w:rsid w:val="001152F2"/>
    <w:rsid w:val="00117B6D"/>
    <w:rsid w:val="00117C46"/>
    <w:rsid w:val="00117E5F"/>
    <w:rsid w:val="00122CD2"/>
    <w:rsid w:val="001250C4"/>
    <w:rsid w:val="00125AD9"/>
    <w:rsid w:val="00125F1F"/>
    <w:rsid w:val="0012658A"/>
    <w:rsid w:val="0013210B"/>
    <w:rsid w:val="00134635"/>
    <w:rsid w:val="00134B7C"/>
    <w:rsid w:val="00135448"/>
    <w:rsid w:val="00146878"/>
    <w:rsid w:val="0014793D"/>
    <w:rsid w:val="0015108A"/>
    <w:rsid w:val="00152D41"/>
    <w:rsid w:val="00155A13"/>
    <w:rsid w:val="00155C65"/>
    <w:rsid w:val="00157480"/>
    <w:rsid w:val="00157E0B"/>
    <w:rsid w:val="00160F8F"/>
    <w:rsid w:val="00162B46"/>
    <w:rsid w:val="001638A0"/>
    <w:rsid w:val="00166CCD"/>
    <w:rsid w:val="001714CA"/>
    <w:rsid w:val="00173E65"/>
    <w:rsid w:val="00174B37"/>
    <w:rsid w:val="00174C35"/>
    <w:rsid w:val="00176135"/>
    <w:rsid w:val="00177734"/>
    <w:rsid w:val="001827DA"/>
    <w:rsid w:val="00184C8D"/>
    <w:rsid w:val="001859A4"/>
    <w:rsid w:val="0018625E"/>
    <w:rsid w:val="00187058"/>
    <w:rsid w:val="001873FA"/>
    <w:rsid w:val="0019195F"/>
    <w:rsid w:val="00195324"/>
    <w:rsid w:val="001A058E"/>
    <w:rsid w:val="001A0839"/>
    <w:rsid w:val="001A2426"/>
    <w:rsid w:val="001A26FE"/>
    <w:rsid w:val="001A2E4A"/>
    <w:rsid w:val="001A2F9B"/>
    <w:rsid w:val="001A5603"/>
    <w:rsid w:val="001A587B"/>
    <w:rsid w:val="001A5D06"/>
    <w:rsid w:val="001A6C02"/>
    <w:rsid w:val="001A73CE"/>
    <w:rsid w:val="001A740A"/>
    <w:rsid w:val="001B085B"/>
    <w:rsid w:val="001B0B27"/>
    <w:rsid w:val="001B119A"/>
    <w:rsid w:val="001B69F9"/>
    <w:rsid w:val="001B6E74"/>
    <w:rsid w:val="001B7B33"/>
    <w:rsid w:val="001C003A"/>
    <w:rsid w:val="001C0EFA"/>
    <w:rsid w:val="001C24D1"/>
    <w:rsid w:val="001C421F"/>
    <w:rsid w:val="001C63D6"/>
    <w:rsid w:val="001C6BFD"/>
    <w:rsid w:val="001C7BDF"/>
    <w:rsid w:val="001C7D07"/>
    <w:rsid w:val="001D1F51"/>
    <w:rsid w:val="001D2B65"/>
    <w:rsid w:val="001D42A0"/>
    <w:rsid w:val="001D48C2"/>
    <w:rsid w:val="001D6C0E"/>
    <w:rsid w:val="001E063E"/>
    <w:rsid w:val="001E137F"/>
    <w:rsid w:val="001E3DCC"/>
    <w:rsid w:val="001E4C9C"/>
    <w:rsid w:val="001E541A"/>
    <w:rsid w:val="001E551A"/>
    <w:rsid w:val="001E71AA"/>
    <w:rsid w:val="001E7334"/>
    <w:rsid w:val="001E7D3E"/>
    <w:rsid w:val="001F48BB"/>
    <w:rsid w:val="001F552F"/>
    <w:rsid w:val="001F5DA1"/>
    <w:rsid w:val="001F6DF6"/>
    <w:rsid w:val="001F7391"/>
    <w:rsid w:val="00200822"/>
    <w:rsid w:val="00201113"/>
    <w:rsid w:val="00203092"/>
    <w:rsid w:val="00205706"/>
    <w:rsid w:val="00205A19"/>
    <w:rsid w:val="00206065"/>
    <w:rsid w:val="00207E1D"/>
    <w:rsid w:val="002107AF"/>
    <w:rsid w:val="002107E9"/>
    <w:rsid w:val="00212025"/>
    <w:rsid w:val="00212241"/>
    <w:rsid w:val="00222479"/>
    <w:rsid w:val="00226837"/>
    <w:rsid w:val="0023041B"/>
    <w:rsid w:val="00234EC1"/>
    <w:rsid w:val="00236B5F"/>
    <w:rsid w:val="00236E44"/>
    <w:rsid w:val="00240DB2"/>
    <w:rsid w:val="002424A3"/>
    <w:rsid w:val="002441C3"/>
    <w:rsid w:val="00244780"/>
    <w:rsid w:val="002457D8"/>
    <w:rsid w:val="00246298"/>
    <w:rsid w:val="002518BE"/>
    <w:rsid w:val="00251BE1"/>
    <w:rsid w:val="0025252F"/>
    <w:rsid w:val="00253E72"/>
    <w:rsid w:val="00257CE3"/>
    <w:rsid w:val="00261CAD"/>
    <w:rsid w:val="0026205C"/>
    <w:rsid w:val="002633B5"/>
    <w:rsid w:val="00264A71"/>
    <w:rsid w:val="00264C76"/>
    <w:rsid w:val="00264C91"/>
    <w:rsid w:val="00264CCE"/>
    <w:rsid w:val="00265616"/>
    <w:rsid w:val="00265667"/>
    <w:rsid w:val="002714FA"/>
    <w:rsid w:val="00271C8F"/>
    <w:rsid w:val="00271CD9"/>
    <w:rsid w:val="00272B15"/>
    <w:rsid w:val="00273ABD"/>
    <w:rsid w:val="00273EE9"/>
    <w:rsid w:val="002758FC"/>
    <w:rsid w:val="00275F92"/>
    <w:rsid w:val="002806C0"/>
    <w:rsid w:val="00280B2E"/>
    <w:rsid w:val="00283747"/>
    <w:rsid w:val="00285594"/>
    <w:rsid w:val="002860F7"/>
    <w:rsid w:val="00291E37"/>
    <w:rsid w:val="002920C0"/>
    <w:rsid w:val="0029391F"/>
    <w:rsid w:val="002939E8"/>
    <w:rsid w:val="0029668D"/>
    <w:rsid w:val="00297C60"/>
    <w:rsid w:val="002A04F0"/>
    <w:rsid w:val="002A09B5"/>
    <w:rsid w:val="002A1A9C"/>
    <w:rsid w:val="002A55CC"/>
    <w:rsid w:val="002A5F83"/>
    <w:rsid w:val="002B0B29"/>
    <w:rsid w:val="002B14F2"/>
    <w:rsid w:val="002B16D5"/>
    <w:rsid w:val="002B34BA"/>
    <w:rsid w:val="002B3FFA"/>
    <w:rsid w:val="002B4346"/>
    <w:rsid w:val="002B5BC9"/>
    <w:rsid w:val="002B5C42"/>
    <w:rsid w:val="002B7151"/>
    <w:rsid w:val="002C2C04"/>
    <w:rsid w:val="002C303F"/>
    <w:rsid w:val="002C352B"/>
    <w:rsid w:val="002C3BF6"/>
    <w:rsid w:val="002C56C1"/>
    <w:rsid w:val="002C5D67"/>
    <w:rsid w:val="002D0D1C"/>
    <w:rsid w:val="002D22EB"/>
    <w:rsid w:val="002D2881"/>
    <w:rsid w:val="002D3501"/>
    <w:rsid w:val="002D5E4B"/>
    <w:rsid w:val="002D6D68"/>
    <w:rsid w:val="002E0EF5"/>
    <w:rsid w:val="002E20FD"/>
    <w:rsid w:val="002E4E9C"/>
    <w:rsid w:val="002E5ACA"/>
    <w:rsid w:val="002E7529"/>
    <w:rsid w:val="002E7BD8"/>
    <w:rsid w:val="002F1356"/>
    <w:rsid w:val="002F482E"/>
    <w:rsid w:val="002F4E3A"/>
    <w:rsid w:val="002F5871"/>
    <w:rsid w:val="002F7E53"/>
    <w:rsid w:val="00300294"/>
    <w:rsid w:val="00303007"/>
    <w:rsid w:val="00303320"/>
    <w:rsid w:val="003033F9"/>
    <w:rsid w:val="003039C2"/>
    <w:rsid w:val="003040C7"/>
    <w:rsid w:val="003056F6"/>
    <w:rsid w:val="00305CB2"/>
    <w:rsid w:val="0030636E"/>
    <w:rsid w:val="00306741"/>
    <w:rsid w:val="00306C91"/>
    <w:rsid w:val="00311A66"/>
    <w:rsid w:val="0031275E"/>
    <w:rsid w:val="003128E2"/>
    <w:rsid w:val="00313772"/>
    <w:rsid w:val="003169D4"/>
    <w:rsid w:val="00317991"/>
    <w:rsid w:val="00321CB4"/>
    <w:rsid w:val="0032293A"/>
    <w:rsid w:val="003235A7"/>
    <w:rsid w:val="00325A6C"/>
    <w:rsid w:val="003304DD"/>
    <w:rsid w:val="003319C7"/>
    <w:rsid w:val="00333086"/>
    <w:rsid w:val="00335423"/>
    <w:rsid w:val="0033686F"/>
    <w:rsid w:val="00342264"/>
    <w:rsid w:val="003432A5"/>
    <w:rsid w:val="00343594"/>
    <w:rsid w:val="00346D09"/>
    <w:rsid w:val="0035009D"/>
    <w:rsid w:val="00352441"/>
    <w:rsid w:val="003527D0"/>
    <w:rsid w:val="0035351D"/>
    <w:rsid w:val="0035377B"/>
    <w:rsid w:val="00354E73"/>
    <w:rsid w:val="00355F37"/>
    <w:rsid w:val="003560EC"/>
    <w:rsid w:val="0035627A"/>
    <w:rsid w:val="0035673E"/>
    <w:rsid w:val="00356B5E"/>
    <w:rsid w:val="003575D1"/>
    <w:rsid w:val="003638BD"/>
    <w:rsid w:val="00367D94"/>
    <w:rsid w:val="003714E9"/>
    <w:rsid w:val="0037283E"/>
    <w:rsid w:val="00372E10"/>
    <w:rsid w:val="00373362"/>
    <w:rsid w:val="00373F02"/>
    <w:rsid w:val="00374828"/>
    <w:rsid w:val="00374EDD"/>
    <w:rsid w:val="00375358"/>
    <w:rsid w:val="00386C49"/>
    <w:rsid w:val="0039156E"/>
    <w:rsid w:val="00391F9B"/>
    <w:rsid w:val="00392DBC"/>
    <w:rsid w:val="00393271"/>
    <w:rsid w:val="003938B4"/>
    <w:rsid w:val="00393CD3"/>
    <w:rsid w:val="00393E93"/>
    <w:rsid w:val="003A0269"/>
    <w:rsid w:val="003A0B21"/>
    <w:rsid w:val="003A4AAE"/>
    <w:rsid w:val="003A7F87"/>
    <w:rsid w:val="003B11D7"/>
    <w:rsid w:val="003B2703"/>
    <w:rsid w:val="003B2A25"/>
    <w:rsid w:val="003B30B5"/>
    <w:rsid w:val="003B3189"/>
    <w:rsid w:val="003B391E"/>
    <w:rsid w:val="003B435C"/>
    <w:rsid w:val="003B44E9"/>
    <w:rsid w:val="003B5302"/>
    <w:rsid w:val="003B5D28"/>
    <w:rsid w:val="003C010F"/>
    <w:rsid w:val="003C0FA5"/>
    <w:rsid w:val="003C4265"/>
    <w:rsid w:val="003C7CF1"/>
    <w:rsid w:val="003C7D98"/>
    <w:rsid w:val="003C7E58"/>
    <w:rsid w:val="003D15F1"/>
    <w:rsid w:val="003D2BAD"/>
    <w:rsid w:val="003D3D73"/>
    <w:rsid w:val="003E005F"/>
    <w:rsid w:val="003E0DF9"/>
    <w:rsid w:val="003E11F5"/>
    <w:rsid w:val="003E15A4"/>
    <w:rsid w:val="003E17DE"/>
    <w:rsid w:val="003E3746"/>
    <w:rsid w:val="003E54D7"/>
    <w:rsid w:val="003E6AE7"/>
    <w:rsid w:val="003F0757"/>
    <w:rsid w:val="003F1152"/>
    <w:rsid w:val="003F2214"/>
    <w:rsid w:val="003F23B2"/>
    <w:rsid w:val="003F421D"/>
    <w:rsid w:val="003F474E"/>
    <w:rsid w:val="003F5168"/>
    <w:rsid w:val="003F6A76"/>
    <w:rsid w:val="003F79A6"/>
    <w:rsid w:val="00400152"/>
    <w:rsid w:val="00400C52"/>
    <w:rsid w:val="004011F9"/>
    <w:rsid w:val="0040290E"/>
    <w:rsid w:val="00403737"/>
    <w:rsid w:val="0040373E"/>
    <w:rsid w:val="00405104"/>
    <w:rsid w:val="00406A5D"/>
    <w:rsid w:val="00407AAD"/>
    <w:rsid w:val="00410CD3"/>
    <w:rsid w:val="00414A4D"/>
    <w:rsid w:val="004165BB"/>
    <w:rsid w:val="00420DC5"/>
    <w:rsid w:val="00424D3F"/>
    <w:rsid w:val="00424E66"/>
    <w:rsid w:val="00425316"/>
    <w:rsid w:val="004253D6"/>
    <w:rsid w:val="00430A8D"/>
    <w:rsid w:val="00431142"/>
    <w:rsid w:val="004318BD"/>
    <w:rsid w:val="00440D68"/>
    <w:rsid w:val="00441E66"/>
    <w:rsid w:val="00443253"/>
    <w:rsid w:val="0044332B"/>
    <w:rsid w:val="00443C3A"/>
    <w:rsid w:val="00445E59"/>
    <w:rsid w:val="00446E56"/>
    <w:rsid w:val="00451188"/>
    <w:rsid w:val="0045148B"/>
    <w:rsid w:val="00454A0E"/>
    <w:rsid w:val="00454E55"/>
    <w:rsid w:val="00455C14"/>
    <w:rsid w:val="00457E99"/>
    <w:rsid w:val="004601AB"/>
    <w:rsid w:val="00462531"/>
    <w:rsid w:val="00462771"/>
    <w:rsid w:val="00463F45"/>
    <w:rsid w:val="00464E67"/>
    <w:rsid w:val="004650F9"/>
    <w:rsid w:val="00465569"/>
    <w:rsid w:val="004664B3"/>
    <w:rsid w:val="004676D4"/>
    <w:rsid w:val="00470812"/>
    <w:rsid w:val="00470916"/>
    <w:rsid w:val="00471C7A"/>
    <w:rsid w:val="00471D84"/>
    <w:rsid w:val="00476AA4"/>
    <w:rsid w:val="00480C35"/>
    <w:rsid w:val="004810D2"/>
    <w:rsid w:val="0048159A"/>
    <w:rsid w:val="004815F3"/>
    <w:rsid w:val="004836B0"/>
    <w:rsid w:val="00483C7C"/>
    <w:rsid w:val="0048436B"/>
    <w:rsid w:val="0048473F"/>
    <w:rsid w:val="00484A64"/>
    <w:rsid w:val="00486886"/>
    <w:rsid w:val="004903DB"/>
    <w:rsid w:val="004919AE"/>
    <w:rsid w:val="00492D62"/>
    <w:rsid w:val="00493B38"/>
    <w:rsid w:val="00494308"/>
    <w:rsid w:val="00495CA8"/>
    <w:rsid w:val="00496B0C"/>
    <w:rsid w:val="004A319D"/>
    <w:rsid w:val="004A3B70"/>
    <w:rsid w:val="004A4CF5"/>
    <w:rsid w:val="004A5F1E"/>
    <w:rsid w:val="004A6EFC"/>
    <w:rsid w:val="004A71A5"/>
    <w:rsid w:val="004A7848"/>
    <w:rsid w:val="004B0BD1"/>
    <w:rsid w:val="004B1734"/>
    <w:rsid w:val="004B2C1D"/>
    <w:rsid w:val="004B4D5D"/>
    <w:rsid w:val="004B7B7E"/>
    <w:rsid w:val="004C0682"/>
    <w:rsid w:val="004C06A4"/>
    <w:rsid w:val="004C26EE"/>
    <w:rsid w:val="004C530D"/>
    <w:rsid w:val="004C554F"/>
    <w:rsid w:val="004C5611"/>
    <w:rsid w:val="004D0246"/>
    <w:rsid w:val="004D258D"/>
    <w:rsid w:val="004D32F4"/>
    <w:rsid w:val="004D4706"/>
    <w:rsid w:val="004D4927"/>
    <w:rsid w:val="004D5BE6"/>
    <w:rsid w:val="004D6016"/>
    <w:rsid w:val="004E26BB"/>
    <w:rsid w:val="004E3722"/>
    <w:rsid w:val="004E4667"/>
    <w:rsid w:val="004E66DA"/>
    <w:rsid w:val="004E6A51"/>
    <w:rsid w:val="004F0FEA"/>
    <w:rsid w:val="004F10EC"/>
    <w:rsid w:val="004F1456"/>
    <w:rsid w:val="004F14C6"/>
    <w:rsid w:val="004F1C23"/>
    <w:rsid w:val="004F2BC7"/>
    <w:rsid w:val="004F5C02"/>
    <w:rsid w:val="00502E9E"/>
    <w:rsid w:val="00503670"/>
    <w:rsid w:val="00505639"/>
    <w:rsid w:val="005059EB"/>
    <w:rsid w:val="00505EBD"/>
    <w:rsid w:val="00510DCA"/>
    <w:rsid w:val="00513A92"/>
    <w:rsid w:val="00514921"/>
    <w:rsid w:val="005154B8"/>
    <w:rsid w:val="005161E2"/>
    <w:rsid w:val="00517299"/>
    <w:rsid w:val="005210DA"/>
    <w:rsid w:val="005213BB"/>
    <w:rsid w:val="00525013"/>
    <w:rsid w:val="00527653"/>
    <w:rsid w:val="00531778"/>
    <w:rsid w:val="005329FB"/>
    <w:rsid w:val="00533A67"/>
    <w:rsid w:val="00537540"/>
    <w:rsid w:val="00537AC2"/>
    <w:rsid w:val="00544F54"/>
    <w:rsid w:val="00545170"/>
    <w:rsid w:val="005453E0"/>
    <w:rsid w:val="00550D7C"/>
    <w:rsid w:val="00550DCC"/>
    <w:rsid w:val="005513F8"/>
    <w:rsid w:val="0055345A"/>
    <w:rsid w:val="00553709"/>
    <w:rsid w:val="0055631C"/>
    <w:rsid w:val="00561319"/>
    <w:rsid w:val="0056211F"/>
    <w:rsid w:val="0056272C"/>
    <w:rsid w:val="00563955"/>
    <w:rsid w:val="005647ED"/>
    <w:rsid w:val="0056539F"/>
    <w:rsid w:val="00565823"/>
    <w:rsid w:val="00567428"/>
    <w:rsid w:val="00567F81"/>
    <w:rsid w:val="0057044E"/>
    <w:rsid w:val="005714ED"/>
    <w:rsid w:val="00572257"/>
    <w:rsid w:val="0057344B"/>
    <w:rsid w:val="00574D86"/>
    <w:rsid w:val="005750EB"/>
    <w:rsid w:val="00576E3C"/>
    <w:rsid w:val="0057764A"/>
    <w:rsid w:val="0058202B"/>
    <w:rsid w:val="005835AD"/>
    <w:rsid w:val="00583FDC"/>
    <w:rsid w:val="00586AAC"/>
    <w:rsid w:val="005915E4"/>
    <w:rsid w:val="005937FA"/>
    <w:rsid w:val="00595676"/>
    <w:rsid w:val="00596B0C"/>
    <w:rsid w:val="00597F74"/>
    <w:rsid w:val="005A0151"/>
    <w:rsid w:val="005A0A92"/>
    <w:rsid w:val="005A38D2"/>
    <w:rsid w:val="005A3DD0"/>
    <w:rsid w:val="005A4DA9"/>
    <w:rsid w:val="005A53B6"/>
    <w:rsid w:val="005A730E"/>
    <w:rsid w:val="005A7747"/>
    <w:rsid w:val="005B20A4"/>
    <w:rsid w:val="005B2C12"/>
    <w:rsid w:val="005B7D45"/>
    <w:rsid w:val="005C1682"/>
    <w:rsid w:val="005C1F07"/>
    <w:rsid w:val="005C3A9F"/>
    <w:rsid w:val="005C4555"/>
    <w:rsid w:val="005C4ABB"/>
    <w:rsid w:val="005D10BC"/>
    <w:rsid w:val="005D1AE8"/>
    <w:rsid w:val="005D3C4B"/>
    <w:rsid w:val="005D4469"/>
    <w:rsid w:val="005D44A2"/>
    <w:rsid w:val="005D5127"/>
    <w:rsid w:val="005D7B9F"/>
    <w:rsid w:val="005E737F"/>
    <w:rsid w:val="005F054D"/>
    <w:rsid w:val="005F09F7"/>
    <w:rsid w:val="005F0BBF"/>
    <w:rsid w:val="005F27A8"/>
    <w:rsid w:val="005F4079"/>
    <w:rsid w:val="005F5878"/>
    <w:rsid w:val="005F5E9C"/>
    <w:rsid w:val="005F6847"/>
    <w:rsid w:val="005F7C2D"/>
    <w:rsid w:val="0060510C"/>
    <w:rsid w:val="00606987"/>
    <w:rsid w:val="00607818"/>
    <w:rsid w:val="00610151"/>
    <w:rsid w:val="00611BF1"/>
    <w:rsid w:val="00615F15"/>
    <w:rsid w:val="00616677"/>
    <w:rsid w:val="0061697F"/>
    <w:rsid w:val="00617455"/>
    <w:rsid w:val="00617810"/>
    <w:rsid w:val="00620BF1"/>
    <w:rsid w:val="00621248"/>
    <w:rsid w:val="0062591B"/>
    <w:rsid w:val="00626181"/>
    <w:rsid w:val="006320DC"/>
    <w:rsid w:val="0063460B"/>
    <w:rsid w:val="00634800"/>
    <w:rsid w:val="00635ADF"/>
    <w:rsid w:val="0063653E"/>
    <w:rsid w:val="006367DE"/>
    <w:rsid w:val="00637D4D"/>
    <w:rsid w:val="00640F7B"/>
    <w:rsid w:val="00642BFF"/>
    <w:rsid w:val="0064389A"/>
    <w:rsid w:val="006442B5"/>
    <w:rsid w:val="006444FC"/>
    <w:rsid w:val="00650431"/>
    <w:rsid w:val="00650E13"/>
    <w:rsid w:val="00651E87"/>
    <w:rsid w:val="00652A23"/>
    <w:rsid w:val="006549A9"/>
    <w:rsid w:val="00655F65"/>
    <w:rsid w:val="006574BA"/>
    <w:rsid w:val="00661A78"/>
    <w:rsid w:val="00663ADF"/>
    <w:rsid w:val="00663B2C"/>
    <w:rsid w:val="0066703A"/>
    <w:rsid w:val="006673F1"/>
    <w:rsid w:val="00670252"/>
    <w:rsid w:val="006702EC"/>
    <w:rsid w:val="0067121A"/>
    <w:rsid w:val="00673DE2"/>
    <w:rsid w:val="0067439A"/>
    <w:rsid w:val="006745E4"/>
    <w:rsid w:val="00675BDA"/>
    <w:rsid w:val="00681FAB"/>
    <w:rsid w:val="00682344"/>
    <w:rsid w:val="006825A0"/>
    <w:rsid w:val="00682B68"/>
    <w:rsid w:val="006833B5"/>
    <w:rsid w:val="006833E4"/>
    <w:rsid w:val="0068743D"/>
    <w:rsid w:val="006927F4"/>
    <w:rsid w:val="00694B83"/>
    <w:rsid w:val="006A0203"/>
    <w:rsid w:val="006A0C43"/>
    <w:rsid w:val="006A2F46"/>
    <w:rsid w:val="006A35FB"/>
    <w:rsid w:val="006A4C79"/>
    <w:rsid w:val="006A79CD"/>
    <w:rsid w:val="006A7DCA"/>
    <w:rsid w:val="006B00BC"/>
    <w:rsid w:val="006B0BE9"/>
    <w:rsid w:val="006B15AF"/>
    <w:rsid w:val="006B7136"/>
    <w:rsid w:val="006C6208"/>
    <w:rsid w:val="006D18F2"/>
    <w:rsid w:val="006D1F04"/>
    <w:rsid w:val="006D2CED"/>
    <w:rsid w:val="006D346D"/>
    <w:rsid w:val="006D4EB8"/>
    <w:rsid w:val="006E2502"/>
    <w:rsid w:val="006E331D"/>
    <w:rsid w:val="006E476F"/>
    <w:rsid w:val="006E4C0A"/>
    <w:rsid w:val="006E534C"/>
    <w:rsid w:val="006E549C"/>
    <w:rsid w:val="006E6467"/>
    <w:rsid w:val="006E6D3A"/>
    <w:rsid w:val="006E7623"/>
    <w:rsid w:val="006E79EC"/>
    <w:rsid w:val="006F06A1"/>
    <w:rsid w:val="006F1F25"/>
    <w:rsid w:val="006F399F"/>
    <w:rsid w:val="00700217"/>
    <w:rsid w:val="00700354"/>
    <w:rsid w:val="007013A2"/>
    <w:rsid w:val="00701AF3"/>
    <w:rsid w:val="00702D9C"/>
    <w:rsid w:val="00703538"/>
    <w:rsid w:val="00705A48"/>
    <w:rsid w:val="00705C0D"/>
    <w:rsid w:val="00706C63"/>
    <w:rsid w:val="00710450"/>
    <w:rsid w:val="00712FE9"/>
    <w:rsid w:val="007159A8"/>
    <w:rsid w:val="00717AD3"/>
    <w:rsid w:val="0072030E"/>
    <w:rsid w:val="00720F75"/>
    <w:rsid w:val="0072125D"/>
    <w:rsid w:val="00721CC8"/>
    <w:rsid w:val="007235E1"/>
    <w:rsid w:val="00723A60"/>
    <w:rsid w:val="007252A0"/>
    <w:rsid w:val="00725668"/>
    <w:rsid w:val="00725F91"/>
    <w:rsid w:val="00727096"/>
    <w:rsid w:val="00730319"/>
    <w:rsid w:val="007333B9"/>
    <w:rsid w:val="00735117"/>
    <w:rsid w:val="0073614F"/>
    <w:rsid w:val="00737592"/>
    <w:rsid w:val="00742ED7"/>
    <w:rsid w:val="00744A37"/>
    <w:rsid w:val="00745E7C"/>
    <w:rsid w:val="00746A05"/>
    <w:rsid w:val="00746EA8"/>
    <w:rsid w:val="00746FAF"/>
    <w:rsid w:val="00751DE4"/>
    <w:rsid w:val="00753F61"/>
    <w:rsid w:val="00754143"/>
    <w:rsid w:val="007566B3"/>
    <w:rsid w:val="007577BB"/>
    <w:rsid w:val="00760DC8"/>
    <w:rsid w:val="00761105"/>
    <w:rsid w:val="0076333D"/>
    <w:rsid w:val="00763A63"/>
    <w:rsid w:val="0076570C"/>
    <w:rsid w:val="00766FAA"/>
    <w:rsid w:val="00770211"/>
    <w:rsid w:val="00772ECF"/>
    <w:rsid w:val="00773488"/>
    <w:rsid w:val="00773EDE"/>
    <w:rsid w:val="00776DA7"/>
    <w:rsid w:val="00780263"/>
    <w:rsid w:val="007805BF"/>
    <w:rsid w:val="00780EB7"/>
    <w:rsid w:val="00781690"/>
    <w:rsid w:val="00783342"/>
    <w:rsid w:val="007842A6"/>
    <w:rsid w:val="0078616D"/>
    <w:rsid w:val="00787A47"/>
    <w:rsid w:val="00791BF6"/>
    <w:rsid w:val="00794EED"/>
    <w:rsid w:val="00795746"/>
    <w:rsid w:val="007A35F9"/>
    <w:rsid w:val="007A7AFF"/>
    <w:rsid w:val="007B0B12"/>
    <w:rsid w:val="007B0EAC"/>
    <w:rsid w:val="007B2794"/>
    <w:rsid w:val="007B2A28"/>
    <w:rsid w:val="007B6C35"/>
    <w:rsid w:val="007B6E17"/>
    <w:rsid w:val="007C0F4A"/>
    <w:rsid w:val="007C25C6"/>
    <w:rsid w:val="007C522D"/>
    <w:rsid w:val="007C64E2"/>
    <w:rsid w:val="007C7E08"/>
    <w:rsid w:val="007D041C"/>
    <w:rsid w:val="007D08D5"/>
    <w:rsid w:val="007D3A47"/>
    <w:rsid w:val="007D58B3"/>
    <w:rsid w:val="007D7084"/>
    <w:rsid w:val="007D7D26"/>
    <w:rsid w:val="007E0146"/>
    <w:rsid w:val="007E2886"/>
    <w:rsid w:val="007E3FEE"/>
    <w:rsid w:val="007E4900"/>
    <w:rsid w:val="007F0AC6"/>
    <w:rsid w:val="007F1176"/>
    <w:rsid w:val="007F1A24"/>
    <w:rsid w:val="007F41D0"/>
    <w:rsid w:val="007F4C67"/>
    <w:rsid w:val="007F5EEC"/>
    <w:rsid w:val="00801F43"/>
    <w:rsid w:val="0080288A"/>
    <w:rsid w:val="0080335B"/>
    <w:rsid w:val="0080394C"/>
    <w:rsid w:val="0080514D"/>
    <w:rsid w:val="00805296"/>
    <w:rsid w:val="00807971"/>
    <w:rsid w:val="008100B3"/>
    <w:rsid w:val="00811097"/>
    <w:rsid w:val="008155A2"/>
    <w:rsid w:val="00815E29"/>
    <w:rsid w:val="00820479"/>
    <w:rsid w:val="008209D8"/>
    <w:rsid w:val="008222A0"/>
    <w:rsid w:val="008256D0"/>
    <w:rsid w:val="008301F9"/>
    <w:rsid w:val="00830EBA"/>
    <w:rsid w:val="00833C85"/>
    <w:rsid w:val="00833FA9"/>
    <w:rsid w:val="00836DA0"/>
    <w:rsid w:val="008374ED"/>
    <w:rsid w:val="00842166"/>
    <w:rsid w:val="00842DA5"/>
    <w:rsid w:val="00844477"/>
    <w:rsid w:val="00844A60"/>
    <w:rsid w:val="00847AB7"/>
    <w:rsid w:val="0085184C"/>
    <w:rsid w:val="00853DE6"/>
    <w:rsid w:val="00854659"/>
    <w:rsid w:val="00855321"/>
    <w:rsid w:val="00855A53"/>
    <w:rsid w:val="00860D9F"/>
    <w:rsid w:val="008627A1"/>
    <w:rsid w:val="00863514"/>
    <w:rsid w:val="008636CF"/>
    <w:rsid w:val="0086570A"/>
    <w:rsid w:val="00865EB7"/>
    <w:rsid w:val="0086628F"/>
    <w:rsid w:val="00870166"/>
    <w:rsid w:val="00875012"/>
    <w:rsid w:val="0087535D"/>
    <w:rsid w:val="00875F36"/>
    <w:rsid w:val="008777CA"/>
    <w:rsid w:val="008802BF"/>
    <w:rsid w:val="008810DF"/>
    <w:rsid w:val="008811AB"/>
    <w:rsid w:val="00881A05"/>
    <w:rsid w:val="0088207A"/>
    <w:rsid w:val="00883123"/>
    <w:rsid w:val="008846C3"/>
    <w:rsid w:val="008879AE"/>
    <w:rsid w:val="008919EE"/>
    <w:rsid w:val="008938DB"/>
    <w:rsid w:val="00893D82"/>
    <w:rsid w:val="00893E01"/>
    <w:rsid w:val="00894CAC"/>
    <w:rsid w:val="008A04B2"/>
    <w:rsid w:val="008A2736"/>
    <w:rsid w:val="008A55EC"/>
    <w:rsid w:val="008A58BC"/>
    <w:rsid w:val="008A62D4"/>
    <w:rsid w:val="008A7D6B"/>
    <w:rsid w:val="008B0502"/>
    <w:rsid w:val="008B08B9"/>
    <w:rsid w:val="008B1A69"/>
    <w:rsid w:val="008B1F99"/>
    <w:rsid w:val="008B20A1"/>
    <w:rsid w:val="008B3615"/>
    <w:rsid w:val="008B3783"/>
    <w:rsid w:val="008B3853"/>
    <w:rsid w:val="008B46E6"/>
    <w:rsid w:val="008B63CF"/>
    <w:rsid w:val="008C0FA9"/>
    <w:rsid w:val="008C20F3"/>
    <w:rsid w:val="008C4BD6"/>
    <w:rsid w:val="008D01E2"/>
    <w:rsid w:val="008D164C"/>
    <w:rsid w:val="008D18DA"/>
    <w:rsid w:val="008D29A4"/>
    <w:rsid w:val="008D3B15"/>
    <w:rsid w:val="008D3CD2"/>
    <w:rsid w:val="008D40CB"/>
    <w:rsid w:val="008D44C1"/>
    <w:rsid w:val="008D52D1"/>
    <w:rsid w:val="008D56BB"/>
    <w:rsid w:val="008D595C"/>
    <w:rsid w:val="008D5CB3"/>
    <w:rsid w:val="008D6227"/>
    <w:rsid w:val="008D63E1"/>
    <w:rsid w:val="008E031A"/>
    <w:rsid w:val="008E078B"/>
    <w:rsid w:val="008E21A6"/>
    <w:rsid w:val="008E4E13"/>
    <w:rsid w:val="008E5E2D"/>
    <w:rsid w:val="008E6B84"/>
    <w:rsid w:val="008E732C"/>
    <w:rsid w:val="008F1984"/>
    <w:rsid w:val="008F1BB5"/>
    <w:rsid w:val="008F4CE0"/>
    <w:rsid w:val="008F57DA"/>
    <w:rsid w:val="008F5AEE"/>
    <w:rsid w:val="009029EC"/>
    <w:rsid w:val="00903C2E"/>
    <w:rsid w:val="00906011"/>
    <w:rsid w:val="00911137"/>
    <w:rsid w:val="00912088"/>
    <w:rsid w:val="00912152"/>
    <w:rsid w:val="00914905"/>
    <w:rsid w:val="009158C5"/>
    <w:rsid w:val="00917BE2"/>
    <w:rsid w:val="009215E3"/>
    <w:rsid w:val="00922A90"/>
    <w:rsid w:val="00922E55"/>
    <w:rsid w:val="0092488A"/>
    <w:rsid w:val="0092522C"/>
    <w:rsid w:val="00925895"/>
    <w:rsid w:val="009269D9"/>
    <w:rsid w:val="00927460"/>
    <w:rsid w:val="00927FE3"/>
    <w:rsid w:val="00931234"/>
    <w:rsid w:val="0093128F"/>
    <w:rsid w:val="00932892"/>
    <w:rsid w:val="0093365A"/>
    <w:rsid w:val="0093418A"/>
    <w:rsid w:val="00942CDE"/>
    <w:rsid w:val="00944D60"/>
    <w:rsid w:val="0094722F"/>
    <w:rsid w:val="0095161C"/>
    <w:rsid w:val="009535EC"/>
    <w:rsid w:val="009558DA"/>
    <w:rsid w:val="00957DEB"/>
    <w:rsid w:val="009607E4"/>
    <w:rsid w:val="0096152B"/>
    <w:rsid w:val="0096500F"/>
    <w:rsid w:val="00967FC6"/>
    <w:rsid w:val="00970871"/>
    <w:rsid w:val="009731A8"/>
    <w:rsid w:val="00973B91"/>
    <w:rsid w:val="009829CA"/>
    <w:rsid w:val="009835FC"/>
    <w:rsid w:val="00984C19"/>
    <w:rsid w:val="009857F6"/>
    <w:rsid w:val="00985AE1"/>
    <w:rsid w:val="00985BEC"/>
    <w:rsid w:val="0098619C"/>
    <w:rsid w:val="0099141F"/>
    <w:rsid w:val="009935C8"/>
    <w:rsid w:val="009937ED"/>
    <w:rsid w:val="00997232"/>
    <w:rsid w:val="009A1663"/>
    <w:rsid w:val="009A1BD9"/>
    <w:rsid w:val="009A379E"/>
    <w:rsid w:val="009A3CE2"/>
    <w:rsid w:val="009B5A76"/>
    <w:rsid w:val="009B628D"/>
    <w:rsid w:val="009C20E6"/>
    <w:rsid w:val="009C217A"/>
    <w:rsid w:val="009C2E56"/>
    <w:rsid w:val="009C4798"/>
    <w:rsid w:val="009C63A9"/>
    <w:rsid w:val="009C7866"/>
    <w:rsid w:val="009D030E"/>
    <w:rsid w:val="009D10DD"/>
    <w:rsid w:val="009D1D7F"/>
    <w:rsid w:val="009D43A2"/>
    <w:rsid w:val="009D77DD"/>
    <w:rsid w:val="009E2B62"/>
    <w:rsid w:val="009E377F"/>
    <w:rsid w:val="009E4633"/>
    <w:rsid w:val="009E4890"/>
    <w:rsid w:val="009E497A"/>
    <w:rsid w:val="009E7DF9"/>
    <w:rsid w:val="009F0A72"/>
    <w:rsid w:val="009F2934"/>
    <w:rsid w:val="009F653A"/>
    <w:rsid w:val="009F7CA9"/>
    <w:rsid w:val="00A01A5D"/>
    <w:rsid w:val="00A0233D"/>
    <w:rsid w:val="00A034CC"/>
    <w:rsid w:val="00A03620"/>
    <w:rsid w:val="00A038AB"/>
    <w:rsid w:val="00A04A38"/>
    <w:rsid w:val="00A05FE0"/>
    <w:rsid w:val="00A10274"/>
    <w:rsid w:val="00A1053B"/>
    <w:rsid w:val="00A13A6B"/>
    <w:rsid w:val="00A13D68"/>
    <w:rsid w:val="00A21D55"/>
    <w:rsid w:val="00A223A4"/>
    <w:rsid w:val="00A22E7B"/>
    <w:rsid w:val="00A27FBA"/>
    <w:rsid w:val="00A32C50"/>
    <w:rsid w:val="00A34565"/>
    <w:rsid w:val="00A3617A"/>
    <w:rsid w:val="00A36C47"/>
    <w:rsid w:val="00A3703D"/>
    <w:rsid w:val="00A42177"/>
    <w:rsid w:val="00A425DB"/>
    <w:rsid w:val="00A42F8A"/>
    <w:rsid w:val="00A43130"/>
    <w:rsid w:val="00A432FE"/>
    <w:rsid w:val="00A45632"/>
    <w:rsid w:val="00A45B6E"/>
    <w:rsid w:val="00A46899"/>
    <w:rsid w:val="00A47CD8"/>
    <w:rsid w:val="00A50D2C"/>
    <w:rsid w:val="00A528AA"/>
    <w:rsid w:val="00A53077"/>
    <w:rsid w:val="00A552BC"/>
    <w:rsid w:val="00A55C4F"/>
    <w:rsid w:val="00A578DF"/>
    <w:rsid w:val="00A64BD0"/>
    <w:rsid w:val="00A6652E"/>
    <w:rsid w:val="00A671EC"/>
    <w:rsid w:val="00A725EB"/>
    <w:rsid w:val="00A72CF7"/>
    <w:rsid w:val="00A73FE6"/>
    <w:rsid w:val="00A7490F"/>
    <w:rsid w:val="00A804B0"/>
    <w:rsid w:val="00A812EE"/>
    <w:rsid w:val="00A87229"/>
    <w:rsid w:val="00A97D71"/>
    <w:rsid w:val="00AA15DA"/>
    <w:rsid w:val="00AA1B2A"/>
    <w:rsid w:val="00AA3708"/>
    <w:rsid w:val="00AA3887"/>
    <w:rsid w:val="00AA3E82"/>
    <w:rsid w:val="00AA485F"/>
    <w:rsid w:val="00AA4ACC"/>
    <w:rsid w:val="00AA5295"/>
    <w:rsid w:val="00AA6B86"/>
    <w:rsid w:val="00AA7EE0"/>
    <w:rsid w:val="00AB288E"/>
    <w:rsid w:val="00AB3260"/>
    <w:rsid w:val="00AB32C0"/>
    <w:rsid w:val="00AB34CE"/>
    <w:rsid w:val="00AB4A49"/>
    <w:rsid w:val="00AB6333"/>
    <w:rsid w:val="00AC23C8"/>
    <w:rsid w:val="00AC28E3"/>
    <w:rsid w:val="00AC368E"/>
    <w:rsid w:val="00AC677F"/>
    <w:rsid w:val="00AC6EE2"/>
    <w:rsid w:val="00AC7B22"/>
    <w:rsid w:val="00AD14BF"/>
    <w:rsid w:val="00AD2C8C"/>
    <w:rsid w:val="00AD520A"/>
    <w:rsid w:val="00AD5607"/>
    <w:rsid w:val="00AD72BA"/>
    <w:rsid w:val="00AE03FD"/>
    <w:rsid w:val="00AE39A8"/>
    <w:rsid w:val="00AE3A16"/>
    <w:rsid w:val="00AE3C94"/>
    <w:rsid w:val="00AE53CE"/>
    <w:rsid w:val="00AE5A6B"/>
    <w:rsid w:val="00AE7B58"/>
    <w:rsid w:val="00AF0291"/>
    <w:rsid w:val="00AF2416"/>
    <w:rsid w:val="00AF2CEF"/>
    <w:rsid w:val="00AF2E6C"/>
    <w:rsid w:val="00AF3B2D"/>
    <w:rsid w:val="00AF471F"/>
    <w:rsid w:val="00AF4FE9"/>
    <w:rsid w:val="00AF6D7A"/>
    <w:rsid w:val="00AF711C"/>
    <w:rsid w:val="00AF7CE4"/>
    <w:rsid w:val="00B00B0A"/>
    <w:rsid w:val="00B02E66"/>
    <w:rsid w:val="00B02EBB"/>
    <w:rsid w:val="00B03F24"/>
    <w:rsid w:val="00B04281"/>
    <w:rsid w:val="00B052E3"/>
    <w:rsid w:val="00B05335"/>
    <w:rsid w:val="00B1620E"/>
    <w:rsid w:val="00B20B22"/>
    <w:rsid w:val="00B20E9C"/>
    <w:rsid w:val="00B219A4"/>
    <w:rsid w:val="00B30602"/>
    <w:rsid w:val="00B35703"/>
    <w:rsid w:val="00B35977"/>
    <w:rsid w:val="00B365EA"/>
    <w:rsid w:val="00B41035"/>
    <w:rsid w:val="00B42C8A"/>
    <w:rsid w:val="00B446AC"/>
    <w:rsid w:val="00B44F0B"/>
    <w:rsid w:val="00B454AC"/>
    <w:rsid w:val="00B45FB0"/>
    <w:rsid w:val="00B47400"/>
    <w:rsid w:val="00B50E8D"/>
    <w:rsid w:val="00B51268"/>
    <w:rsid w:val="00B51D68"/>
    <w:rsid w:val="00B537E8"/>
    <w:rsid w:val="00B53A9F"/>
    <w:rsid w:val="00B55588"/>
    <w:rsid w:val="00B60784"/>
    <w:rsid w:val="00B6134F"/>
    <w:rsid w:val="00B64401"/>
    <w:rsid w:val="00B655EA"/>
    <w:rsid w:val="00B7087F"/>
    <w:rsid w:val="00B779F3"/>
    <w:rsid w:val="00B77C50"/>
    <w:rsid w:val="00B80043"/>
    <w:rsid w:val="00B81C41"/>
    <w:rsid w:val="00B823A5"/>
    <w:rsid w:val="00B83E0A"/>
    <w:rsid w:val="00B8547F"/>
    <w:rsid w:val="00B861B3"/>
    <w:rsid w:val="00B86D66"/>
    <w:rsid w:val="00B902F8"/>
    <w:rsid w:val="00B90868"/>
    <w:rsid w:val="00B90904"/>
    <w:rsid w:val="00B93EAE"/>
    <w:rsid w:val="00B9428F"/>
    <w:rsid w:val="00B943DA"/>
    <w:rsid w:val="00B95E9E"/>
    <w:rsid w:val="00B9604F"/>
    <w:rsid w:val="00BA022C"/>
    <w:rsid w:val="00BA3DA5"/>
    <w:rsid w:val="00BA4420"/>
    <w:rsid w:val="00BA5232"/>
    <w:rsid w:val="00BB0BC1"/>
    <w:rsid w:val="00BB16A0"/>
    <w:rsid w:val="00BB4FA0"/>
    <w:rsid w:val="00BB5CE4"/>
    <w:rsid w:val="00BB7D92"/>
    <w:rsid w:val="00BB7F6F"/>
    <w:rsid w:val="00BC10F2"/>
    <w:rsid w:val="00BC1C07"/>
    <w:rsid w:val="00BC3D7F"/>
    <w:rsid w:val="00BC62E6"/>
    <w:rsid w:val="00BD1B55"/>
    <w:rsid w:val="00BD50F6"/>
    <w:rsid w:val="00BD5F3D"/>
    <w:rsid w:val="00BD63B9"/>
    <w:rsid w:val="00BD69B7"/>
    <w:rsid w:val="00BE0194"/>
    <w:rsid w:val="00BE1178"/>
    <w:rsid w:val="00BE1CA6"/>
    <w:rsid w:val="00BE25DF"/>
    <w:rsid w:val="00BE3652"/>
    <w:rsid w:val="00BE4B81"/>
    <w:rsid w:val="00BE7F83"/>
    <w:rsid w:val="00BF0005"/>
    <w:rsid w:val="00BF1201"/>
    <w:rsid w:val="00BF1EEC"/>
    <w:rsid w:val="00BF2EC2"/>
    <w:rsid w:val="00BF3D80"/>
    <w:rsid w:val="00BF4DD8"/>
    <w:rsid w:val="00BF6725"/>
    <w:rsid w:val="00C03913"/>
    <w:rsid w:val="00C0549D"/>
    <w:rsid w:val="00C068A7"/>
    <w:rsid w:val="00C07752"/>
    <w:rsid w:val="00C079D5"/>
    <w:rsid w:val="00C11AD7"/>
    <w:rsid w:val="00C145B1"/>
    <w:rsid w:val="00C14748"/>
    <w:rsid w:val="00C14F92"/>
    <w:rsid w:val="00C15285"/>
    <w:rsid w:val="00C16DCC"/>
    <w:rsid w:val="00C17FB7"/>
    <w:rsid w:val="00C202C3"/>
    <w:rsid w:val="00C23FC8"/>
    <w:rsid w:val="00C24428"/>
    <w:rsid w:val="00C246D5"/>
    <w:rsid w:val="00C251E2"/>
    <w:rsid w:val="00C26002"/>
    <w:rsid w:val="00C26ABA"/>
    <w:rsid w:val="00C32570"/>
    <w:rsid w:val="00C33583"/>
    <w:rsid w:val="00C34AC1"/>
    <w:rsid w:val="00C36130"/>
    <w:rsid w:val="00C375D8"/>
    <w:rsid w:val="00C41F5B"/>
    <w:rsid w:val="00C47A5C"/>
    <w:rsid w:val="00C50B54"/>
    <w:rsid w:val="00C53F14"/>
    <w:rsid w:val="00C54663"/>
    <w:rsid w:val="00C54F9C"/>
    <w:rsid w:val="00C55479"/>
    <w:rsid w:val="00C613B7"/>
    <w:rsid w:val="00C61D18"/>
    <w:rsid w:val="00C64022"/>
    <w:rsid w:val="00C6411E"/>
    <w:rsid w:val="00C649B3"/>
    <w:rsid w:val="00C66260"/>
    <w:rsid w:val="00C67779"/>
    <w:rsid w:val="00C8411A"/>
    <w:rsid w:val="00C84FA8"/>
    <w:rsid w:val="00C86847"/>
    <w:rsid w:val="00C87380"/>
    <w:rsid w:val="00C87D40"/>
    <w:rsid w:val="00C9081E"/>
    <w:rsid w:val="00C92830"/>
    <w:rsid w:val="00C94274"/>
    <w:rsid w:val="00C96F89"/>
    <w:rsid w:val="00C976BD"/>
    <w:rsid w:val="00C97B44"/>
    <w:rsid w:val="00CA06CB"/>
    <w:rsid w:val="00CA0AB4"/>
    <w:rsid w:val="00CA0C52"/>
    <w:rsid w:val="00CA2C59"/>
    <w:rsid w:val="00CA30C0"/>
    <w:rsid w:val="00CA3F57"/>
    <w:rsid w:val="00CA41CD"/>
    <w:rsid w:val="00CA4C83"/>
    <w:rsid w:val="00CA5EC8"/>
    <w:rsid w:val="00CA5FD2"/>
    <w:rsid w:val="00CB18CC"/>
    <w:rsid w:val="00CB2360"/>
    <w:rsid w:val="00CB374C"/>
    <w:rsid w:val="00CB4A64"/>
    <w:rsid w:val="00CB52F4"/>
    <w:rsid w:val="00CB61A2"/>
    <w:rsid w:val="00CB72F3"/>
    <w:rsid w:val="00CC0F8F"/>
    <w:rsid w:val="00CC1C39"/>
    <w:rsid w:val="00CC21D6"/>
    <w:rsid w:val="00CC2E9E"/>
    <w:rsid w:val="00CC31EB"/>
    <w:rsid w:val="00CC4973"/>
    <w:rsid w:val="00CD0AB6"/>
    <w:rsid w:val="00CD0AD4"/>
    <w:rsid w:val="00CD121C"/>
    <w:rsid w:val="00CD1417"/>
    <w:rsid w:val="00CD22D0"/>
    <w:rsid w:val="00CD26B4"/>
    <w:rsid w:val="00CD4059"/>
    <w:rsid w:val="00CD49DD"/>
    <w:rsid w:val="00CD5D79"/>
    <w:rsid w:val="00CE0926"/>
    <w:rsid w:val="00CE10F0"/>
    <w:rsid w:val="00CE1F32"/>
    <w:rsid w:val="00CE26D1"/>
    <w:rsid w:val="00CE2FEA"/>
    <w:rsid w:val="00CE34B9"/>
    <w:rsid w:val="00CE4478"/>
    <w:rsid w:val="00CE517D"/>
    <w:rsid w:val="00CE7A4F"/>
    <w:rsid w:val="00CF10B3"/>
    <w:rsid w:val="00CF2348"/>
    <w:rsid w:val="00CF3230"/>
    <w:rsid w:val="00CF3E3A"/>
    <w:rsid w:val="00D008EE"/>
    <w:rsid w:val="00D011F6"/>
    <w:rsid w:val="00D04033"/>
    <w:rsid w:val="00D047B3"/>
    <w:rsid w:val="00D06843"/>
    <w:rsid w:val="00D100BD"/>
    <w:rsid w:val="00D1119C"/>
    <w:rsid w:val="00D115C3"/>
    <w:rsid w:val="00D11634"/>
    <w:rsid w:val="00D11B06"/>
    <w:rsid w:val="00D12232"/>
    <w:rsid w:val="00D15AF4"/>
    <w:rsid w:val="00D16E23"/>
    <w:rsid w:val="00D17CEF"/>
    <w:rsid w:val="00D17D48"/>
    <w:rsid w:val="00D21C76"/>
    <w:rsid w:val="00D22948"/>
    <w:rsid w:val="00D2630B"/>
    <w:rsid w:val="00D31924"/>
    <w:rsid w:val="00D32DBC"/>
    <w:rsid w:val="00D330F4"/>
    <w:rsid w:val="00D33967"/>
    <w:rsid w:val="00D34C0C"/>
    <w:rsid w:val="00D36004"/>
    <w:rsid w:val="00D37022"/>
    <w:rsid w:val="00D371F0"/>
    <w:rsid w:val="00D37366"/>
    <w:rsid w:val="00D4093B"/>
    <w:rsid w:val="00D43784"/>
    <w:rsid w:val="00D44E49"/>
    <w:rsid w:val="00D452D9"/>
    <w:rsid w:val="00D457EF"/>
    <w:rsid w:val="00D46736"/>
    <w:rsid w:val="00D47538"/>
    <w:rsid w:val="00D477D4"/>
    <w:rsid w:val="00D51015"/>
    <w:rsid w:val="00D5185C"/>
    <w:rsid w:val="00D51BEF"/>
    <w:rsid w:val="00D52CEE"/>
    <w:rsid w:val="00D52D19"/>
    <w:rsid w:val="00D561A4"/>
    <w:rsid w:val="00D60CB2"/>
    <w:rsid w:val="00D62E92"/>
    <w:rsid w:val="00D67918"/>
    <w:rsid w:val="00D70D96"/>
    <w:rsid w:val="00D742E1"/>
    <w:rsid w:val="00D75037"/>
    <w:rsid w:val="00D767D5"/>
    <w:rsid w:val="00D76C9F"/>
    <w:rsid w:val="00D77139"/>
    <w:rsid w:val="00D80B19"/>
    <w:rsid w:val="00D80E2E"/>
    <w:rsid w:val="00D81697"/>
    <w:rsid w:val="00D83B4E"/>
    <w:rsid w:val="00D83BB6"/>
    <w:rsid w:val="00D85889"/>
    <w:rsid w:val="00D85949"/>
    <w:rsid w:val="00D90AD2"/>
    <w:rsid w:val="00D919BE"/>
    <w:rsid w:val="00D936E5"/>
    <w:rsid w:val="00D9488C"/>
    <w:rsid w:val="00DA126C"/>
    <w:rsid w:val="00DA50E5"/>
    <w:rsid w:val="00DB1D98"/>
    <w:rsid w:val="00DB3443"/>
    <w:rsid w:val="00DB37AF"/>
    <w:rsid w:val="00DC0EF6"/>
    <w:rsid w:val="00DC2707"/>
    <w:rsid w:val="00DC2843"/>
    <w:rsid w:val="00DC2EC3"/>
    <w:rsid w:val="00DC3621"/>
    <w:rsid w:val="00DC36C7"/>
    <w:rsid w:val="00DC4CE4"/>
    <w:rsid w:val="00DC7759"/>
    <w:rsid w:val="00DD0847"/>
    <w:rsid w:val="00DD3120"/>
    <w:rsid w:val="00DD38BA"/>
    <w:rsid w:val="00DD4466"/>
    <w:rsid w:val="00DD5880"/>
    <w:rsid w:val="00DD5915"/>
    <w:rsid w:val="00DD6E8B"/>
    <w:rsid w:val="00DD78DF"/>
    <w:rsid w:val="00DD78F0"/>
    <w:rsid w:val="00DE0F5A"/>
    <w:rsid w:val="00DE206F"/>
    <w:rsid w:val="00DE3135"/>
    <w:rsid w:val="00DE3828"/>
    <w:rsid w:val="00DE4516"/>
    <w:rsid w:val="00DE5992"/>
    <w:rsid w:val="00DE6309"/>
    <w:rsid w:val="00DE6BE9"/>
    <w:rsid w:val="00DE6C75"/>
    <w:rsid w:val="00DE76B1"/>
    <w:rsid w:val="00DE7E12"/>
    <w:rsid w:val="00DF0841"/>
    <w:rsid w:val="00DF2671"/>
    <w:rsid w:val="00DF67B0"/>
    <w:rsid w:val="00E01233"/>
    <w:rsid w:val="00E01EBF"/>
    <w:rsid w:val="00E037FD"/>
    <w:rsid w:val="00E04D0B"/>
    <w:rsid w:val="00E116C0"/>
    <w:rsid w:val="00E1181D"/>
    <w:rsid w:val="00E131D6"/>
    <w:rsid w:val="00E1349E"/>
    <w:rsid w:val="00E13F29"/>
    <w:rsid w:val="00E151AE"/>
    <w:rsid w:val="00E17964"/>
    <w:rsid w:val="00E20205"/>
    <w:rsid w:val="00E20A10"/>
    <w:rsid w:val="00E21ECC"/>
    <w:rsid w:val="00E238DC"/>
    <w:rsid w:val="00E2582F"/>
    <w:rsid w:val="00E25C6E"/>
    <w:rsid w:val="00E27E31"/>
    <w:rsid w:val="00E31654"/>
    <w:rsid w:val="00E316E5"/>
    <w:rsid w:val="00E34612"/>
    <w:rsid w:val="00E35D93"/>
    <w:rsid w:val="00E3768A"/>
    <w:rsid w:val="00E41007"/>
    <w:rsid w:val="00E4250A"/>
    <w:rsid w:val="00E4559F"/>
    <w:rsid w:val="00E45B1C"/>
    <w:rsid w:val="00E46626"/>
    <w:rsid w:val="00E46E5D"/>
    <w:rsid w:val="00E5006A"/>
    <w:rsid w:val="00E5243D"/>
    <w:rsid w:val="00E5261B"/>
    <w:rsid w:val="00E52B94"/>
    <w:rsid w:val="00E538D4"/>
    <w:rsid w:val="00E541C7"/>
    <w:rsid w:val="00E5677F"/>
    <w:rsid w:val="00E57E9E"/>
    <w:rsid w:val="00E60934"/>
    <w:rsid w:val="00E625B1"/>
    <w:rsid w:val="00E64E45"/>
    <w:rsid w:val="00E65543"/>
    <w:rsid w:val="00E655E2"/>
    <w:rsid w:val="00E66466"/>
    <w:rsid w:val="00E67D5E"/>
    <w:rsid w:val="00E70C86"/>
    <w:rsid w:val="00E72557"/>
    <w:rsid w:val="00E73A57"/>
    <w:rsid w:val="00E73C33"/>
    <w:rsid w:val="00E744A1"/>
    <w:rsid w:val="00E74840"/>
    <w:rsid w:val="00E75D63"/>
    <w:rsid w:val="00E770FD"/>
    <w:rsid w:val="00E80F1C"/>
    <w:rsid w:val="00E82696"/>
    <w:rsid w:val="00E862C7"/>
    <w:rsid w:val="00E91203"/>
    <w:rsid w:val="00E937EB"/>
    <w:rsid w:val="00E93F90"/>
    <w:rsid w:val="00E94448"/>
    <w:rsid w:val="00EA0A8E"/>
    <w:rsid w:val="00EA0D6B"/>
    <w:rsid w:val="00EA2D81"/>
    <w:rsid w:val="00EA4184"/>
    <w:rsid w:val="00EA5F0B"/>
    <w:rsid w:val="00EB16DD"/>
    <w:rsid w:val="00EB37C1"/>
    <w:rsid w:val="00EB453D"/>
    <w:rsid w:val="00EB61DD"/>
    <w:rsid w:val="00EC0160"/>
    <w:rsid w:val="00EC2CCF"/>
    <w:rsid w:val="00EC3425"/>
    <w:rsid w:val="00EC3BB1"/>
    <w:rsid w:val="00EC50CA"/>
    <w:rsid w:val="00EC6979"/>
    <w:rsid w:val="00ED05BA"/>
    <w:rsid w:val="00ED0E26"/>
    <w:rsid w:val="00ED305A"/>
    <w:rsid w:val="00ED4A60"/>
    <w:rsid w:val="00ED7C15"/>
    <w:rsid w:val="00ED7E70"/>
    <w:rsid w:val="00EE09ED"/>
    <w:rsid w:val="00EE21CE"/>
    <w:rsid w:val="00EE2BF7"/>
    <w:rsid w:val="00EE48D5"/>
    <w:rsid w:val="00EE6C22"/>
    <w:rsid w:val="00EE797D"/>
    <w:rsid w:val="00EF108A"/>
    <w:rsid w:val="00EF150D"/>
    <w:rsid w:val="00EF33B5"/>
    <w:rsid w:val="00EF366C"/>
    <w:rsid w:val="00EF4843"/>
    <w:rsid w:val="00EF4C7B"/>
    <w:rsid w:val="00EF77A3"/>
    <w:rsid w:val="00EF7BE7"/>
    <w:rsid w:val="00F0216B"/>
    <w:rsid w:val="00F04DDA"/>
    <w:rsid w:val="00F0690C"/>
    <w:rsid w:val="00F1196B"/>
    <w:rsid w:val="00F119C1"/>
    <w:rsid w:val="00F13CE5"/>
    <w:rsid w:val="00F1494C"/>
    <w:rsid w:val="00F14D47"/>
    <w:rsid w:val="00F16340"/>
    <w:rsid w:val="00F20139"/>
    <w:rsid w:val="00F2430D"/>
    <w:rsid w:val="00F2486B"/>
    <w:rsid w:val="00F26616"/>
    <w:rsid w:val="00F26857"/>
    <w:rsid w:val="00F27B07"/>
    <w:rsid w:val="00F30F99"/>
    <w:rsid w:val="00F3139C"/>
    <w:rsid w:val="00F31E4E"/>
    <w:rsid w:val="00F31EE2"/>
    <w:rsid w:val="00F31FB4"/>
    <w:rsid w:val="00F337E9"/>
    <w:rsid w:val="00F35C9A"/>
    <w:rsid w:val="00F36452"/>
    <w:rsid w:val="00F372B0"/>
    <w:rsid w:val="00F42793"/>
    <w:rsid w:val="00F448C1"/>
    <w:rsid w:val="00F46708"/>
    <w:rsid w:val="00F50EBD"/>
    <w:rsid w:val="00F516D8"/>
    <w:rsid w:val="00F51F71"/>
    <w:rsid w:val="00F524A3"/>
    <w:rsid w:val="00F544C4"/>
    <w:rsid w:val="00F54EB6"/>
    <w:rsid w:val="00F556A7"/>
    <w:rsid w:val="00F56770"/>
    <w:rsid w:val="00F56D64"/>
    <w:rsid w:val="00F57A40"/>
    <w:rsid w:val="00F57F80"/>
    <w:rsid w:val="00F60FCD"/>
    <w:rsid w:val="00F63334"/>
    <w:rsid w:val="00F637F8"/>
    <w:rsid w:val="00F663AC"/>
    <w:rsid w:val="00F66B57"/>
    <w:rsid w:val="00F676C8"/>
    <w:rsid w:val="00F72F25"/>
    <w:rsid w:val="00F73699"/>
    <w:rsid w:val="00F7480C"/>
    <w:rsid w:val="00F74DFC"/>
    <w:rsid w:val="00F7577D"/>
    <w:rsid w:val="00F801DE"/>
    <w:rsid w:val="00F80749"/>
    <w:rsid w:val="00F81891"/>
    <w:rsid w:val="00F819CF"/>
    <w:rsid w:val="00F82A94"/>
    <w:rsid w:val="00F83547"/>
    <w:rsid w:val="00F86572"/>
    <w:rsid w:val="00F87624"/>
    <w:rsid w:val="00F92319"/>
    <w:rsid w:val="00F92732"/>
    <w:rsid w:val="00F92747"/>
    <w:rsid w:val="00F94BDA"/>
    <w:rsid w:val="00F95BFA"/>
    <w:rsid w:val="00F96035"/>
    <w:rsid w:val="00F96844"/>
    <w:rsid w:val="00F96CF3"/>
    <w:rsid w:val="00FA2A5E"/>
    <w:rsid w:val="00FA32D4"/>
    <w:rsid w:val="00FA3890"/>
    <w:rsid w:val="00FA7934"/>
    <w:rsid w:val="00FB2565"/>
    <w:rsid w:val="00FB3B94"/>
    <w:rsid w:val="00FB5ED3"/>
    <w:rsid w:val="00FC1453"/>
    <w:rsid w:val="00FC1596"/>
    <w:rsid w:val="00FC2172"/>
    <w:rsid w:val="00FC3812"/>
    <w:rsid w:val="00FC41C8"/>
    <w:rsid w:val="00FC4A25"/>
    <w:rsid w:val="00FC5447"/>
    <w:rsid w:val="00FC58CE"/>
    <w:rsid w:val="00FC7B7C"/>
    <w:rsid w:val="00FD140A"/>
    <w:rsid w:val="00FD152E"/>
    <w:rsid w:val="00FD1A7F"/>
    <w:rsid w:val="00FD3731"/>
    <w:rsid w:val="00FD3741"/>
    <w:rsid w:val="00FD4931"/>
    <w:rsid w:val="00FD72F4"/>
    <w:rsid w:val="00FE05D0"/>
    <w:rsid w:val="00FE0700"/>
    <w:rsid w:val="00FE243A"/>
    <w:rsid w:val="00FE6CA6"/>
    <w:rsid w:val="00FE7073"/>
    <w:rsid w:val="00FE741A"/>
    <w:rsid w:val="00FF07F0"/>
    <w:rsid w:val="00FF125E"/>
    <w:rsid w:val="00FF4131"/>
    <w:rsid w:val="00FF4416"/>
    <w:rsid w:val="00FF5931"/>
    <w:rsid w:val="00FF7558"/>
    <w:rsid w:val="654C37C0"/>
    <w:rsid w:val="69D62A85"/>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FF0000"/>
    </o:shapedefaults>
    <o:shapelayout v:ext="edit">
      <o:idmap v:ext="edit" data="1,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宋体" w:cs="Times New Roman"/>
      <w:kern w:val="2"/>
      <w:sz w:val="21"/>
      <w:lang w:val="en-US" w:eastAsia="zh-CN" w:bidi="ar-SA"/>
    </w:rPr>
  </w:style>
  <w:style w:type="paragraph" w:styleId="2">
    <w:name w:val="heading 1"/>
    <w:basedOn w:val="1"/>
    <w:next w:val="1"/>
    <w:qFormat/>
    <w:uiPriority w:val="0"/>
    <w:pPr>
      <w:keepNext/>
      <w:jc w:val="center"/>
      <w:outlineLvl w:val="0"/>
    </w:pPr>
  </w:style>
  <w:style w:type="paragraph" w:styleId="3">
    <w:name w:val="heading 3"/>
    <w:basedOn w:val="1"/>
    <w:next w:val="1"/>
    <w:link w:val="33"/>
    <w:qFormat/>
    <w:uiPriority w:val="0"/>
    <w:pPr>
      <w:keepNext/>
      <w:keepLines/>
      <w:spacing w:before="260" w:after="260" w:line="413" w:lineRule="auto"/>
      <w:outlineLvl w:val="2"/>
    </w:pPr>
    <w:rPr>
      <w:rFonts w:eastAsia="SimSun+1"/>
      <w:b/>
      <w:sz w:val="32"/>
    </w:rPr>
  </w:style>
  <w:style w:type="paragraph" w:styleId="4">
    <w:name w:val="heading 4"/>
    <w:basedOn w:val="1"/>
    <w:next w:val="1"/>
    <w:qFormat/>
    <w:uiPriority w:val="0"/>
    <w:pPr>
      <w:keepNext/>
      <w:spacing w:line="324" w:lineRule="auto"/>
      <w:outlineLvl w:val="3"/>
    </w:pPr>
    <w:rPr>
      <w:b/>
      <w:color w:val="FF6600"/>
      <w:sz w:val="24"/>
    </w:rPr>
  </w:style>
  <w:style w:type="character" w:default="1" w:styleId="22">
    <w:name w:val="Default Paragraph Font"/>
    <w:unhideWhenUsed/>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semiHidden/>
    <w:uiPriority w:val="0"/>
    <w:rPr>
      <w:b/>
      <w:bCs/>
    </w:rPr>
  </w:style>
  <w:style w:type="paragraph" w:styleId="6">
    <w:name w:val="annotation text"/>
    <w:basedOn w:val="1"/>
    <w:link w:val="49"/>
    <w:semiHidden/>
    <w:qFormat/>
    <w:uiPriority w:val="0"/>
    <w:pPr>
      <w:jc w:val="left"/>
    </w:pPr>
  </w:style>
  <w:style w:type="paragraph" w:styleId="7">
    <w:name w:val="Body Text First Indent"/>
    <w:basedOn w:val="8"/>
    <w:link w:val="34"/>
    <w:uiPriority w:val="0"/>
    <w:pPr>
      <w:spacing w:after="120"/>
      <w:ind w:firstLine="420"/>
      <w:jc w:val="both"/>
    </w:pPr>
    <w:rPr>
      <w:rFonts w:ascii="Arial" w:hAnsi="Arial"/>
      <w:sz w:val="21"/>
    </w:rPr>
  </w:style>
  <w:style w:type="paragraph" w:styleId="8">
    <w:name w:val="Body Text"/>
    <w:basedOn w:val="1"/>
    <w:link w:val="93"/>
    <w:uiPriority w:val="0"/>
    <w:pPr>
      <w:jc w:val="center"/>
    </w:pPr>
    <w:rPr>
      <w:rFonts w:ascii="Times New Roman" w:hAnsi="Times New Roman" w:eastAsia="SimSun+1"/>
      <w:sz w:val="24"/>
    </w:rPr>
  </w:style>
  <w:style w:type="paragraph" w:styleId="9">
    <w:name w:val="Normal Indent"/>
    <w:basedOn w:val="1"/>
    <w:link w:val="92"/>
    <w:uiPriority w:val="0"/>
    <w:pPr>
      <w:ind w:firstLine="420"/>
    </w:pPr>
    <w:rPr>
      <w:rFonts w:ascii="Times New Roman" w:hAnsi="Times New Roman" w:eastAsia="SimSun+1"/>
    </w:rPr>
  </w:style>
  <w:style w:type="paragraph" w:styleId="10">
    <w:name w:val="Document Map"/>
    <w:basedOn w:val="1"/>
    <w:semiHidden/>
    <w:uiPriority w:val="0"/>
    <w:pPr>
      <w:shd w:val="clear" w:color="auto" w:fill="000080"/>
    </w:pPr>
  </w:style>
  <w:style w:type="paragraph" w:styleId="11">
    <w:name w:val="Body Text Indent"/>
    <w:basedOn w:val="1"/>
    <w:uiPriority w:val="0"/>
    <w:pPr>
      <w:snapToGrid w:val="0"/>
      <w:spacing w:line="360" w:lineRule="auto"/>
      <w:ind w:firstLine="540"/>
    </w:pPr>
    <w:rPr>
      <w:rFonts w:ascii="SimSun+1"/>
      <w:color w:val="000000"/>
    </w:rPr>
  </w:style>
  <w:style w:type="paragraph" w:styleId="12">
    <w:name w:val="Plain Text"/>
    <w:basedOn w:val="1"/>
    <w:link w:val="66"/>
    <w:uiPriority w:val="0"/>
    <w:rPr>
      <w:rFonts w:ascii="SimSun+1" w:eastAsia="SimSun+1"/>
    </w:rPr>
  </w:style>
  <w:style w:type="paragraph" w:styleId="13">
    <w:name w:val="Body Text Indent 2"/>
    <w:basedOn w:val="1"/>
    <w:qFormat/>
    <w:uiPriority w:val="0"/>
    <w:pPr>
      <w:spacing w:line="252" w:lineRule="auto"/>
      <w:ind w:firstLine="500" w:firstLineChars="200"/>
    </w:pPr>
    <w:rPr>
      <w:sz w:val="25"/>
    </w:rPr>
  </w:style>
  <w:style w:type="paragraph" w:styleId="14">
    <w:name w:val="Balloon Text"/>
    <w:basedOn w:val="1"/>
    <w:semiHidden/>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uiPriority w:val="0"/>
    <w:pPr>
      <w:pBdr>
        <w:bottom w:val="single" w:color="auto" w:sz="6" w:space="1"/>
      </w:pBdr>
      <w:tabs>
        <w:tab w:val="center" w:pos="4153"/>
        <w:tab w:val="right" w:pos="8306"/>
      </w:tabs>
      <w:snapToGrid w:val="0"/>
      <w:jc w:val="center"/>
    </w:pPr>
    <w:rPr>
      <w:sz w:val="18"/>
    </w:rPr>
  </w:style>
  <w:style w:type="paragraph" w:styleId="17">
    <w:name w:val="List"/>
    <w:basedOn w:val="1"/>
    <w:uiPriority w:val="0"/>
    <w:pPr>
      <w:ind w:left="200" w:hanging="200" w:hangingChars="200"/>
    </w:pPr>
  </w:style>
  <w:style w:type="paragraph" w:styleId="18">
    <w:name w:val="Body Text Indent 3"/>
    <w:basedOn w:val="1"/>
    <w:link w:val="72"/>
    <w:qFormat/>
    <w:uiPriority w:val="0"/>
    <w:pPr>
      <w:snapToGrid w:val="0"/>
      <w:spacing w:line="360" w:lineRule="auto"/>
      <w:ind w:firstLine="540"/>
    </w:pPr>
    <w:rPr>
      <w:rFonts w:ascii="Times New Roman" w:hAnsi="Times New Roman" w:eastAsia="SimSun+1"/>
      <w:sz w:val="25"/>
    </w:rPr>
  </w:style>
  <w:style w:type="paragraph" w:styleId="19">
    <w:name w:val="table of figures"/>
    <w:basedOn w:val="1"/>
    <w:next w:val="1"/>
    <w:semiHidden/>
    <w:uiPriority w:val="0"/>
    <w:pPr>
      <w:ind w:left="200" w:leftChars="200" w:hanging="200" w:hangingChars="200"/>
    </w:pPr>
  </w:style>
  <w:style w:type="paragraph" w:styleId="20">
    <w:name w:val="Normal (Web)"/>
    <w:basedOn w:val="1"/>
    <w:uiPriority w:val="0"/>
    <w:pPr>
      <w:widowControl/>
      <w:spacing w:before="100" w:beforeAutospacing="1" w:after="100" w:afterAutospacing="1"/>
      <w:jc w:val="left"/>
    </w:pPr>
    <w:rPr>
      <w:kern w:val="0"/>
      <w:sz w:val="24"/>
    </w:rPr>
  </w:style>
  <w:style w:type="paragraph" w:styleId="21">
    <w:name w:val="Title"/>
    <w:basedOn w:val="1"/>
    <w:qFormat/>
    <w:uiPriority w:val="0"/>
    <w:pPr>
      <w:spacing w:before="60" w:after="60"/>
      <w:ind w:left="210" w:leftChars="100"/>
      <w:outlineLvl w:val="0"/>
    </w:pPr>
    <w:rPr>
      <w:rFonts w:cs="Arial"/>
      <w:b/>
      <w:bCs/>
      <w:sz w:val="24"/>
      <w:szCs w:val="32"/>
    </w:rPr>
  </w:style>
  <w:style w:type="character" w:styleId="23">
    <w:name w:val="Strong"/>
    <w:basedOn w:val="22"/>
    <w:qFormat/>
    <w:uiPriority w:val="0"/>
    <w:rPr>
      <w:b/>
      <w:bCs/>
    </w:rPr>
  </w:style>
  <w:style w:type="character" w:styleId="24">
    <w:name w:val="page number"/>
    <w:basedOn w:val="22"/>
    <w:qFormat/>
    <w:uiPriority w:val="0"/>
  </w:style>
  <w:style w:type="character" w:styleId="25">
    <w:name w:val="Hyperlink"/>
    <w:basedOn w:val="22"/>
    <w:qFormat/>
    <w:uiPriority w:val="0"/>
    <w:rPr>
      <w:color w:val="0000FF"/>
      <w:u w:val="single"/>
    </w:rPr>
  </w:style>
  <w:style w:type="character" w:styleId="26">
    <w:name w:val="annotation reference"/>
    <w:basedOn w:val="22"/>
    <w:semiHidden/>
    <w:uiPriority w:val="0"/>
    <w:rPr>
      <w:sz w:val="21"/>
      <w:szCs w:val="21"/>
    </w:rPr>
  </w:style>
  <w:style w:type="table" w:styleId="28">
    <w:name w:val="Table Grid"/>
    <w:basedOn w:val="2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9">
    <w:name w:val="宗兴正文 Char Char"/>
    <w:basedOn w:val="22"/>
    <w:link w:val="30"/>
    <w:uiPriority w:val="0"/>
    <w:rPr>
      <w:rFonts w:eastAsia="SimSun+1"/>
      <w:kern w:val="2"/>
      <w:sz w:val="24"/>
      <w:lang w:val="en-US" w:eastAsia="zh-CN" w:bidi="ar-SA"/>
    </w:rPr>
  </w:style>
  <w:style w:type="paragraph" w:customStyle="1" w:styleId="30">
    <w:name w:val="宗兴正文"/>
    <w:basedOn w:val="1"/>
    <w:link w:val="29"/>
    <w:uiPriority w:val="0"/>
    <w:pPr>
      <w:spacing w:before="93" w:after="93" w:line="360" w:lineRule="auto"/>
      <w:ind w:firstLine="480" w:firstLineChars="200"/>
      <w:jc w:val="left"/>
    </w:pPr>
    <w:rPr>
      <w:rFonts w:ascii="Times New Roman" w:hAnsi="Times New Roman" w:eastAsia="SimSun+1"/>
      <w:sz w:val="24"/>
    </w:rPr>
  </w:style>
  <w:style w:type="character" w:customStyle="1" w:styleId="31">
    <w:name w:val="正文正本 + 宋体 Char"/>
    <w:link w:val="32"/>
    <w:uiPriority w:val="0"/>
    <w:rPr>
      <w:rFonts w:ascii="宋体" w:hAnsi="宋体" w:eastAsia="宋体"/>
      <w:sz w:val="24"/>
      <w:szCs w:val="24"/>
      <w:lang w:bidi="ar-SA"/>
    </w:rPr>
  </w:style>
  <w:style w:type="paragraph" w:customStyle="1" w:styleId="32">
    <w:name w:val="正文正本 + 宋体"/>
    <w:basedOn w:val="1"/>
    <w:link w:val="31"/>
    <w:qFormat/>
    <w:uiPriority w:val="0"/>
    <w:pPr>
      <w:widowControl/>
      <w:spacing w:line="360" w:lineRule="auto"/>
      <w:ind w:firstLine="510"/>
      <w:jc w:val="left"/>
    </w:pPr>
    <w:rPr>
      <w:rFonts w:ascii="宋体" w:hAnsi="宋体"/>
      <w:kern w:val="0"/>
      <w:sz w:val="24"/>
      <w:szCs w:val="24"/>
    </w:rPr>
  </w:style>
  <w:style w:type="character" w:customStyle="1" w:styleId="33">
    <w:name w:val="标题 3 Char"/>
    <w:basedOn w:val="22"/>
    <w:link w:val="3"/>
    <w:uiPriority w:val="0"/>
    <w:rPr>
      <w:rFonts w:ascii="Arial" w:hAnsi="Arial" w:eastAsia="SimSun+1"/>
      <w:b/>
      <w:kern w:val="2"/>
      <w:sz w:val="32"/>
      <w:lang w:val="en-US" w:eastAsia="zh-CN" w:bidi="ar-SA"/>
    </w:rPr>
  </w:style>
  <w:style w:type="character" w:customStyle="1" w:styleId="34">
    <w:name w:val="正文首行缩进 Char"/>
    <w:basedOn w:val="22"/>
    <w:link w:val="7"/>
    <w:uiPriority w:val="0"/>
    <w:rPr>
      <w:rFonts w:ascii="Arial" w:hAnsi="Arial" w:eastAsia="SimSun+1"/>
      <w:kern w:val="2"/>
      <w:sz w:val="21"/>
      <w:lang w:val="en-US" w:eastAsia="zh-CN" w:bidi="ar-SA"/>
    </w:rPr>
  </w:style>
  <w:style w:type="character" w:customStyle="1" w:styleId="35">
    <w:name w:val="表格内正文 Char"/>
    <w:link w:val="36"/>
    <w:qFormat/>
    <w:uiPriority w:val="0"/>
    <w:rPr>
      <w:rFonts w:ascii="宋体" w:hAnsi="宋体" w:eastAsia="宋体"/>
      <w:spacing w:val="4"/>
      <w:kern w:val="18"/>
      <w:sz w:val="24"/>
      <w:szCs w:val="24"/>
      <w:lang w:val="en-US" w:eastAsia="zh-CN" w:bidi="ar-SA"/>
    </w:rPr>
  </w:style>
  <w:style w:type="paragraph" w:customStyle="1" w:styleId="36">
    <w:name w:val="表格内正文"/>
    <w:basedOn w:val="1"/>
    <w:link w:val="35"/>
    <w:qFormat/>
    <w:uiPriority w:val="0"/>
    <w:pPr>
      <w:spacing w:line="360" w:lineRule="auto"/>
      <w:ind w:firstLine="499"/>
    </w:pPr>
    <w:rPr>
      <w:rFonts w:ascii="宋体" w:hAnsi="宋体"/>
      <w:spacing w:val="4"/>
      <w:kern w:val="18"/>
      <w:sz w:val="24"/>
      <w:szCs w:val="24"/>
    </w:rPr>
  </w:style>
  <w:style w:type="character" w:customStyle="1" w:styleId="37">
    <w:name w:val="1 Char"/>
    <w:basedOn w:val="22"/>
    <w:link w:val="38"/>
    <w:qFormat/>
    <w:uiPriority w:val="0"/>
    <w:rPr>
      <w:rFonts w:ascii="SimSun+3" w:eastAsia="SimSun+3"/>
      <w:kern w:val="2"/>
      <w:sz w:val="24"/>
      <w:lang w:val="en-US" w:eastAsia="zh-CN" w:bidi="ar-SA"/>
    </w:rPr>
  </w:style>
  <w:style w:type="paragraph" w:customStyle="1" w:styleId="38">
    <w:name w:val="1"/>
    <w:basedOn w:val="1"/>
    <w:next w:val="11"/>
    <w:link w:val="37"/>
    <w:uiPriority w:val="0"/>
    <w:pPr>
      <w:spacing w:line="360" w:lineRule="auto"/>
      <w:ind w:firstLine="480" w:firstLineChars="200"/>
    </w:pPr>
    <w:rPr>
      <w:rFonts w:ascii="SimSun+3" w:hAnsi="Times New Roman" w:eastAsia="SimSun+3"/>
      <w:sz w:val="24"/>
    </w:rPr>
  </w:style>
  <w:style w:type="character" w:customStyle="1" w:styleId="39">
    <w:name w:val="报告表小段 Char Char"/>
    <w:basedOn w:val="22"/>
    <w:link w:val="40"/>
    <w:qFormat/>
    <w:uiPriority w:val="0"/>
    <w:rPr>
      <w:rFonts w:ascii="SimSun+1" w:hAnsi="SimSun+1" w:eastAsia="SimSun+1"/>
      <w:kern w:val="2"/>
      <w:sz w:val="24"/>
      <w:lang w:val="en-US" w:eastAsia="zh-CN" w:bidi="ar-SA"/>
    </w:rPr>
  </w:style>
  <w:style w:type="paragraph" w:customStyle="1" w:styleId="40">
    <w:name w:val="报告表小段"/>
    <w:basedOn w:val="1"/>
    <w:link w:val="39"/>
    <w:uiPriority w:val="0"/>
    <w:pPr>
      <w:spacing w:before="120" w:line="360" w:lineRule="auto"/>
      <w:ind w:firstLine="470" w:firstLineChars="196"/>
    </w:pPr>
    <w:rPr>
      <w:rFonts w:ascii="SimSun+1" w:hAnsi="SimSun+1" w:eastAsia="SimSun+1"/>
      <w:sz w:val="24"/>
    </w:rPr>
  </w:style>
  <w:style w:type="character" w:customStyle="1" w:styleId="41">
    <w:name w:val="报告表 小段 Char"/>
    <w:uiPriority w:val="0"/>
    <w:rPr>
      <w:rFonts w:ascii="宋体" w:eastAsia="宋体"/>
      <w:bCs/>
      <w:kern w:val="2"/>
      <w:sz w:val="24"/>
      <w:szCs w:val="24"/>
      <w:lang w:val="en-US" w:eastAsia="zh-CN" w:bidi="ar-SA"/>
    </w:rPr>
  </w:style>
  <w:style w:type="character" w:customStyle="1" w:styleId="42">
    <w:name w:val="样式208 Char"/>
    <w:basedOn w:val="22"/>
    <w:link w:val="43"/>
    <w:uiPriority w:val="0"/>
    <w:rPr>
      <w:rFonts w:eastAsia="宋体"/>
      <w:color w:val="000000"/>
      <w:kern w:val="2"/>
      <w:sz w:val="21"/>
      <w:szCs w:val="21"/>
      <w:lang w:val="en-US" w:eastAsia="zh-CN" w:bidi="ar-SA"/>
    </w:rPr>
  </w:style>
  <w:style w:type="paragraph" w:customStyle="1" w:styleId="43">
    <w:name w:val="样式208"/>
    <w:basedOn w:val="1"/>
    <w:link w:val="42"/>
    <w:qFormat/>
    <w:uiPriority w:val="0"/>
    <w:pPr>
      <w:adjustRightInd w:val="0"/>
      <w:spacing w:line="320" w:lineRule="exact"/>
      <w:jc w:val="center"/>
      <w:textAlignment w:val="baseline"/>
    </w:pPr>
    <w:rPr>
      <w:rFonts w:ascii="Times New Roman" w:hAnsi="Times New Roman"/>
      <w:color w:val="000000"/>
      <w:szCs w:val="21"/>
    </w:rPr>
  </w:style>
  <w:style w:type="character" w:customStyle="1" w:styleId="44">
    <w:name w:val="表格样式 Char"/>
    <w:basedOn w:val="22"/>
    <w:link w:val="45"/>
    <w:locked/>
    <w:uiPriority w:val="0"/>
    <w:rPr>
      <w:rFonts w:ascii="宋体" w:hAnsi="宋体" w:eastAsia="宋体"/>
      <w:sz w:val="21"/>
      <w:szCs w:val="21"/>
      <w:lang w:val="en-US" w:eastAsia="zh-CN" w:bidi="ar-SA"/>
    </w:rPr>
  </w:style>
  <w:style w:type="paragraph" w:customStyle="1" w:styleId="45">
    <w:name w:val="表格样式"/>
    <w:basedOn w:val="1"/>
    <w:link w:val="44"/>
    <w:qFormat/>
    <w:uiPriority w:val="0"/>
    <w:pPr>
      <w:adjustRightInd w:val="0"/>
      <w:snapToGrid w:val="0"/>
      <w:jc w:val="center"/>
    </w:pPr>
    <w:rPr>
      <w:rFonts w:ascii="宋体" w:hAnsi="宋体"/>
      <w:kern w:val="0"/>
      <w:szCs w:val="21"/>
    </w:rPr>
  </w:style>
  <w:style w:type="character" w:customStyle="1" w:styleId="46">
    <w:name w:val="在编文字 Char"/>
    <w:basedOn w:val="22"/>
    <w:uiPriority w:val="0"/>
    <w:rPr>
      <w:rFonts w:eastAsia="宋体"/>
      <w:kern w:val="2"/>
      <w:sz w:val="24"/>
      <w:lang w:val="en-US" w:eastAsia="zh-CN" w:bidi="ar-SA"/>
    </w:rPr>
  </w:style>
  <w:style w:type="character" w:customStyle="1" w:styleId="47">
    <w:name w:val="正文 Char Char1 Char Char Char Char Char Char Char Char Char Char Char Char Char Char1 Char Char Char Char Char Char Char Char Char Char Char Char Char Char Char Char Char Char Char Char Char Char Char Char Char Char Char Char"/>
    <w:link w:val="48"/>
    <w:uiPriority w:val="0"/>
    <w:rPr>
      <w:rFonts w:eastAsia="宋体"/>
      <w:sz w:val="24"/>
      <w:szCs w:val="24"/>
      <w:lang w:bidi="ar-SA"/>
    </w:rPr>
  </w:style>
  <w:style w:type="paragraph" w:customStyle="1" w:styleId="48">
    <w:name w:val="正文 Char Char1 Char Char Char Char Char Char Char Char Char Char Char Char Char Char1 Char Char Char Char Char Char Char Char Char Char Char Char Char Char Char Char Char Char Char Char Char Char Char Char Char Char"/>
    <w:basedOn w:val="1"/>
    <w:link w:val="47"/>
    <w:uiPriority w:val="0"/>
    <w:pPr>
      <w:adjustRightInd w:val="0"/>
      <w:snapToGrid w:val="0"/>
      <w:spacing w:line="360" w:lineRule="auto"/>
      <w:ind w:firstLine="510"/>
    </w:pPr>
    <w:rPr>
      <w:rFonts w:ascii="Times New Roman" w:hAnsi="Times New Roman"/>
      <w:kern w:val="0"/>
      <w:sz w:val="24"/>
      <w:szCs w:val="24"/>
    </w:rPr>
  </w:style>
  <w:style w:type="character" w:customStyle="1" w:styleId="49">
    <w:name w:val="批注文字 Char"/>
    <w:basedOn w:val="22"/>
    <w:link w:val="6"/>
    <w:uiPriority w:val="0"/>
    <w:rPr>
      <w:rFonts w:ascii="Arial" w:hAnsi="Arial" w:eastAsia="宋体"/>
      <w:kern w:val="2"/>
      <w:sz w:val="21"/>
      <w:lang w:val="en-US" w:eastAsia="zh-CN" w:bidi="ar-SA"/>
    </w:rPr>
  </w:style>
  <w:style w:type="character" w:customStyle="1" w:styleId="50">
    <w:name w:val="小标题 Char"/>
    <w:basedOn w:val="22"/>
    <w:link w:val="51"/>
    <w:uiPriority w:val="0"/>
    <w:rPr>
      <w:rFonts w:ascii="SimSun+1" w:hAnsi="SimSun+1" w:eastAsia="宋体"/>
      <w:sz w:val="24"/>
      <w:lang w:val="en-US" w:eastAsia="zh-CN" w:bidi="ar-SA"/>
    </w:rPr>
  </w:style>
  <w:style w:type="paragraph" w:customStyle="1" w:styleId="51">
    <w:name w:val="小标题"/>
    <w:basedOn w:val="1"/>
    <w:link w:val="50"/>
    <w:uiPriority w:val="0"/>
    <w:pPr>
      <w:adjustRightInd w:val="0"/>
      <w:spacing w:after="72"/>
      <w:jc w:val="left"/>
      <w:textAlignment w:val="baseline"/>
    </w:pPr>
    <w:rPr>
      <w:rFonts w:ascii="SimSun+1" w:hAnsi="SimSun+1"/>
      <w:kern w:val="0"/>
      <w:sz w:val="24"/>
    </w:rPr>
  </w:style>
  <w:style w:type="character" w:customStyle="1" w:styleId="52">
    <w:name w:val="Char Char4"/>
    <w:basedOn w:val="22"/>
    <w:link w:val="53"/>
    <w:uiPriority w:val="0"/>
    <w:rPr>
      <w:rFonts w:ascii="Arial" w:hAnsi="Arial" w:eastAsia="宋体"/>
      <w:kern w:val="2"/>
      <w:sz w:val="24"/>
      <w:lang w:val="en-US" w:eastAsia="zh-CN" w:bidi="ar-SA"/>
    </w:rPr>
  </w:style>
  <w:style w:type="paragraph" w:customStyle="1" w:styleId="53">
    <w:name w:val="Char2"/>
    <w:basedOn w:val="1"/>
    <w:link w:val="52"/>
    <w:uiPriority w:val="0"/>
    <w:rPr>
      <w:sz w:val="24"/>
    </w:rPr>
  </w:style>
  <w:style w:type="character" w:customStyle="1" w:styleId="54">
    <w:name w:val="样式 文本正文 + 首行缩进:  2 字符 Char"/>
    <w:basedOn w:val="22"/>
    <w:uiPriority w:val="0"/>
    <w:rPr>
      <w:rFonts w:ascii="宋体"/>
      <w:spacing w:val="4"/>
      <w:kern w:val="2"/>
      <w:sz w:val="24"/>
      <w:szCs w:val="24"/>
      <w:lang w:val="zh-CN" w:eastAsia="zh-CN"/>
    </w:rPr>
  </w:style>
  <w:style w:type="character" w:customStyle="1" w:styleId="55">
    <w:name w:val="样式 左侧:  0.99 厘米 Char Char"/>
    <w:basedOn w:val="22"/>
    <w:link w:val="56"/>
    <w:uiPriority w:val="0"/>
    <w:rPr>
      <w:rFonts w:ascii="SimSun+1" w:eastAsia="SimSun+1"/>
      <w:kern w:val="2"/>
      <w:sz w:val="28"/>
      <w:lang w:val="en-US" w:eastAsia="zh-CN" w:bidi="ar-SA"/>
    </w:rPr>
  </w:style>
  <w:style w:type="paragraph" w:customStyle="1" w:styleId="56">
    <w:name w:val="样式 左侧:  0.99 厘米"/>
    <w:basedOn w:val="1"/>
    <w:link w:val="55"/>
    <w:uiPriority w:val="0"/>
    <w:pPr>
      <w:adjustRightInd w:val="0"/>
      <w:spacing w:line="360" w:lineRule="auto"/>
      <w:jc w:val="left"/>
      <w:textAlignment w:val="baseline"/>
    </w:pPr>
    <w:rPr>
      <w:rFonts w:ascii="SimSun+1" w:hAnsi="Times New Roman" w:eastAsia="SimSun+1"/>
      <w:sz w:val="28"/>
    </w:rPr>
  </w:style>
  <w:style w:type="character" w:customStyle="1" w:styleId="57">
    <w:name w:val="房地产报告正文 Char Char"/>
    <w:basedOn w:val="22"/>
    <w:link w:val="58"/>
    <w:qFormat/>
    <w:uiPriority w:val="0"/>
    <w:rPr>
      <w:rFonts w:ascii="宋体" w:hAnsi="宋体" w:eastAsia="宋体" w:cs="宋体"/>
      <w:kern w:val="2"/>
      <w:sz w:val="24"/>
      <w:lang w:val="en-US" w:eastAsia="zh-CN" w:bidi="ar-SA"/>
    </w:rPr>
  </w:style>
  <w:style w:type="paragraph" w:customStyle="1" w:styleId="58">
    <w:name w:val="房地产报告正文"/>
    <w:basedOn w:val="1"/>
    <w:link w:val="57"/>
    <w:qFormat/>
    <w:uiPriority w:val="0"/>
    <w:pPr>
      <w:snapToGrid w:val="0"/>
      <w:spacing w:line="360" w:lineRule="auto"/>
      <w:ind w:firstLine="480" w:firstLineChars="200"/>
    </w:pPr>
    <w:rPr>
      <w:rFonts w:ascii="宋体" w:hAnsi="宋体" w:cs="宋体"/>
      <w:sz w:val="24"/>
    </w:rPr>
  </w:style>
  <w:style w:type="character" w:customStyle="1" w:styleId="59">
    <w:name w:val="报告表 段 Char"/>
    <w:qFormat/>
    <w:uiPriority w:val="0"/>
    <w:rPr>
      <w:rFonts w:ascii="宋体" w:hAnsi="宋体" w:eastAsia="宋体"/>
      <w:bCs/>
      <w:kern w:val="2"/>
      <w:sz w:val="24"/>
      <w:szCs w:val="24"/>
      <w:lang w:val="en-US" w:eastAsia="zh-CN" w:bidi="ar-SA"/>
    </w:rPr>
  </w:style>
  <w:style w:type="character" w:customStyle="1" w:styleId="60">
    <w:name w:val="报告表  段 Char Char"/>
    <w:basedOn w:val="22"/>
    <w:link w:val="61"/>
    <w:qFormat/>
    <w:uiPriority w:val="0"/>
    <w:rPr>
      <w:rFonts w:ascii="SimSun+1" w:eastAsia="SimSun+1"/>
      <w:sz w:val="24"/>
      <w:lang w:val="en-US" w:eastAsia="zh-CN" w:bidi="ar-SA"/>
    </w:rPr>
  </w:style>
  <w:style w:type="paragraph" w:customStyle="1" w:styleId="61">
    <w:name w:val="报告表  段"/>
    <w:basedOn w:val="1"/>
    <w:link w:val="60"/>
    <w:uiPriority w:val="0"/>
    <w:pPr>
      <w:adjustRightInd w:val="0"/>
      <w:spacing w:line="360" w:lineRule="auto"/>
      <w:ind w:firstLine="505"/>
      <w:textAlignment w:val="baseline"/>
    </w:pPr>
    <w:rPr>
      <w:rFonts w:ascii="SimSun+1" w:hAnsi="Times New Roman" w:eastAsia="SimSun+1"/>
      <w:kern w:val="0"/>
      <w:sz w:val="24"/>
    </w:rPr>
  </w:style>
  <w:style w:type="character" w:customStyle="1" w:styleId="62">
    <w:name w:val="报告正文 Char"/>
    <w:basedOn w:val="22"/>
    <w:link w:val="63"/>
    <w:qFormat/>
    <w:uiPriority w:val="0"/>
    <w:rPr>
      <w:rFonts w:ascii="华文细黑" w:hAnsi="华文细黑" w:eastAsia="华文细黑"/>
      <w:kern w:val="2"/>
      <w:sz w:val="21"/>
      <w:lang w:val="en-US" w:eastAsia="zh-CN" w:bidi="ar-SA"/>
    </w:rPr>
  </w:style>
  <w:style w:type="paragraph" w:customStyle="1" w:styleId="63">
    <w:name w:val="报告正文"/>
    <w:basedOn w:val="1"/>
    <w:link w:val="62"/>
    <w:uiPriority w:val="0"/>
    <w:pPr>
      <w:adjustRightInd w:val="0"/>
      <w:snapToGrid w:val="0"/>
      <w:spacing w:line="288" w:lineRule="auto"/>
      <w:ind w:left="2880" w:leftChars="1600"/>
    </w:pPr>
    <w:rPr>
      <w:rFonts w:ascii="华文细黑" w:hAnsi="华文细黑" w:eastAsia="华文细黑"/>
    </w:rPr>
  </w:style>
  <w:style w:type="character" w:customStyle="1" w:styleId="64">
    <w:name w:val="报告 Char"/>
    <w:basedOn w:val="22"/>
    <w:link w:val="65"/>
    <w:uiPriority w:val="0"/>
    <w:rPr>
      <w:rFonts w:ascii="Arial" w:hAnsi="Arial" w:eastAsia="SimSun+1"/>
      <w:kern w:val="2"/>
      <w:sz w:val="24"/>
      <w:lang w:val="en-US" w:eastAsia="zh-CN" w:bidi="ar-SA"/>
    </w:rPr>
  </w:style>
  <w:style w:type="paragraph" w:customStyle="1" w:styleId="65">
    <w:name w:val="报告"/>
    <w:basedOn w:val="1"/>
    <w:link w:val="64"/>
    <w:qFormat/>
    <w:uiPriority w:val="0"/>
    <w:pPr>
      <w:overflowPunct w:val="0"/>
      <w:autoSpaceDE w:val="0"/>
      <w:autoSpaceDN w:val="0"/>
      <w:adjustRightInd w:val="0"/>
      <w:spacing w:beforeLines="30" w:afterLines="30" w:line="400" w:lineRule="atLeast"/>
      <w:ind w:left="200" w:leftChars="200" w:firstLine="200" w:firstLineChars="200"/>
      <w:textAlignment w:val="baseline"/>
    </w:pPr>
    <w:rPr>
      <w:rFonts w:eastAsia="SimSun+1"/>
      <w:sz w:val="24"/>
    </w:rPr>
  </w:style>
  <w:style w:type="character" w:customStyle="1" w:styleId="66">
    <w:name w:val="纯文本 Char"/>
    <w:basedOn w:val="22"/>
    <w:link w:val="12"/>
    <w:uiPriority w:val="0"/>
    <w:rPr>
      <w:rFonts w:ascii="SimSun+1" w:eastAsia="SimSun+1"/>
      <w:kern w:val="2"/>
      <w:sz w:val="21"/>
      <w:lang w:val="en-US" w:eastAsia="zh-CN" w:bidi="ar-SA"/>
    </w:rPr>
  </w:style>
  <w:style w:type="character" w:customStyle="1" w:styleId="67">
    <w:name w:val="正文 + 小四 + 首行缩进:  2 字符 Char Char"/>
    <w:basedOn w:val="22"/>
    <w:link w:val="68"/>
    <w:qFormat/>
    <w:uiPriority w:val="0"/>
    <w:rPr>
      <w:rFonts w:ascii="宋体" w:hAnsi="宋体"/>
      <w:sz w:val="24"/>
      <w:szCs w:val="24"/>
      <w:lang w:bidi="ar-SA"/>
    </w:rPr>
  </w:style>
  <w:style w:type="paragraph" w:customStyle="1" w:styleId="68">
    <w:name w:val="正文 + 小四 + 首行缩进:  2 字符"/>
    <w:basedOn w:val="1"/>
    <w:link w:val="67"/>
    <w:uiPriority w:val="0"/>
    <w:pPr>
      <w:spacing w:line="292" w:lineRule="auto"/>
      <w:ind w:firstLine="578" w:firstLineChars="200"/>
    </w:pPr>
    <w:rPr>
      <w:rFonts w:ascii="宋体" w:hAnsi="宋体" w:eastAsia="Times New Roman"/>
      <w:kern w:val="0"/>
      <w:sz w:val="24"/>
      <w:szCs w:val="24"/>
    </w:rPr>
  </w:style>
  <w:style w:type="character" w:customStyle="1" w:styleId="69">
    <w:name w:val="陆晶 正文 Char Char"/>
    <w:basedOn w:val="22"/>
    <w:link w:val="70"/>
    <w:qFormat/>
    <w:uiPriority w:val="0"/>
    <w:rPr>
      <w:rFonts w:hAnsi="宋体" w:eastAsia="宋体"/>
      <w:spacing w:val="6"/>
      <w:sz w:val="24"/>
      <w:lang w:val="zh-CN" w:eastAsia="zh-CN" w:bidi="ar-SA"/>
    </w:rPr>
  </w:style>
  <w:style w:type="paragraph" w:customStyle="1" w:styleId="70">
    <w:name w:val="陆晶 正文"/>
    <w:basedOn w:val="1"/>
    <w:link w:val="69"/>
    <w:qFormat/>
    <w:uiPriority w:val="0"/>
    <w:pPr>
      <w:spacing w:line="480" w:lineRule="exact"/>
      <w:ind w:right="27" w:firstLine="506" w:firstLineChars="200"/>
    </w:pPr>
    <w:rPr>
      <w:rFonts w:ascii="Times New Roman" w:hAnsi="宋体"/>
      <w:spacing w:val="6"/>
      <w:kern w:val="0"/>
      <w:sz w:val="24"/>
      <w:lang w:val="zh-CN"/>
    </w:rPr>
  </w:style>
  <w:style w:type="character" w:customStyle="1" w:styleId="71">
    <w:name w:val="Subtle Reference"/>
    <w:qFormat/>
    <w:uiPriority w:val="0"/>
    <w:rPr>
      <w:rFonts w:ascii="Times New Roman"/>
      <w:color w:val="auto"/>
      <w:szCs w:val="24"/>
    </w:rPr>
  </w:style>
  <w:style w:type="character" w:customStyle="1" w:styleId="72">
    <w:name w:val="正文文本缩进 3 Char"/>
    <w:basedOn w:val="22"/>
    <w:link w:val="18"/>
    <w:uiPriority w:val="0"/>
    <w:rPr>
      <w:rFonts w:eastAsia="SimSun+1"/>
      <w:kern w:val="2"/>
      <w:sz w:val="25"/>
      <w:lang w:val="en-US" w:eastAsia="zh-CN" w:bidi="ar-SA"/>
    </w:rPr>
  </w:style>
  <w:style w:type="character" w:customStyle="1" w:styleId="73">
    <w:name w:val="textfont1"/>
    <w:basedOn w:val="22"/>
    <w:uiPriority w:val="0"/>
    <w:rPr>
      <w:rFonts w:hint="default" w:ascii="Wingdings" w:hAnsi="Wingdings"/>
      <w:color w:val="000000"/>
      <w:sz w:val="22"/>
    </w:rPr>
  </w:style>
  <w:style w:type="character" w:customStyle="1" w:styleId="74">
    <w:name w:val="表文 Char Char"/>
    <w:basedOn w:val="22"/>
    <w:link w:val="75"/>
    <w:uiPriority w:val="0"/>
    <w:rPr>
      <w:rFonts w:ascii="SimSun+1" w:hAnsi="SimSun+1" w:eastAsia="宋体"/>
      <w:sz w:val="24"/>
      <w:lang w:val="en-US" w:eastAsia="zh-CN" w:bidi="ar-SA"/>
    </w:rPr>
  </w:style>
  <w:style w:type="paragraph" w:customStyle="1" w:styleId="75">
    <w:name w:val="表文"/>
    <w:basedOn w:val="1"/>
    <w:link w:val="74"/>
    <w:uiPriority w:val="0"/>
    <w:pPr>
      <w:autoSpaceDE w:val="0"/>
      <w:autoSpaceDN w:val="0"/>
      <w:adjustRightInd w:val="0"/>
      <w:spacing w:line="360" w:lineRule="atLeast"/>
      <w:jc w:val="center"/>
      <w:textAlignment w:val="baseline"/>
    </w:pPr>
    <w:rPr>
      <w:rFonts w:ascii="SimSun+1" w:hAnsi="SimSun+1"/>
      <w:kern w:val="0"/>
      <w:sz w:val="24"/>
    </w:rPr>
  </w:style>
  <w:style w:type="character" w:customStyle="1" w:styleId="76">
    <w:name w:val="样式 文本正文 + 首行缩进:  2 字符 Char Char"/>
    <w:basedOn w:val="22"/>
    <w:link w:val="77"/>
    <w:uiPriority w:val="0"/>
    <w:rPr>
      <w:rFonts w:ascii="宋体" w:eastAsia="宋体"/>
      <w:spacing w:val="4"/>
      <w:kern w:val="2"/>
      <w:sz w:val="24"/>
      <w:szCs w:val="24"/>
      <w:lang w:val="zh-CN" w:bidi="ar-SA"/>
    </w:rPr>
  </w:style>
  <w:style w:type="paragraph" w:customStyle="1" w:styleId="77">
    <w:name w:val="样式 文本正文 + 首行缩进:  2 字符"/>
    <w:basedOn w:val="1"/>
    <w:link w:val="76"/>
    <w:uiPriority w:val="0"/>
    <w:pPr>
      <w:adjustRightInd w:val="0"/>
      <w:snapToGrid w:val="0"/>
      <w:spacing w:line="360" w:lineRule="auto"/>
      <w:ind w:firstLine="480" w:firstLineChars="200"/>
    </w:pPr>
    <w:rPr>
      <w:rFonts w:ascii="宋体" w:hAnsi="Times New Roman"/>
      <w:spacing w:val="4"/>
      <w:sz w:val="24"/>
      <w:szCs w:val="24"/>
      <w:lang w:val="zh-CN"/>
    </w:rPr>
  </w:style>
  <w:style w:type="character" w:customStyle="1" w:styleId="78">
    <w:name w:val="样式5 Char"/>
    <w:basedOn w:val="22"/>
    <w:link w:val="79"/>
    <w:uiPriority w:val="0"/>
    <w:rPr>
      <w:rFonts w:eastAsia="宋体"/>
      <w:kern w:val="2"/>
      <w:sz w:val="24"/>
      <w:szCs w:val="24"/>
      <w:lang w:val="en-US" w:eastAsia="zh-CN" w:bidi="ar-SA"/>
    </w:rPr>
  </w:style>
  <w:style w:type="paragraph" w:customStyle="1" w:styleId="79">
    <w:name w:val="样式5"/>
    <w:basedOn w:val="1"/>
    <w:link w:val="78"/>
    <w:qFormat/>
    <w:uiPriority w:val="0"/>
    <w:pPr>
      <w:spacing w:line="360" w:lineRule="auto"/>
      <w:ind w:firstLine="480" w:firstLineChars="200"/>
    </w:pPr>
    <w:rPr>
      <w:rFonts w:ascii="Times New Roman" w:hAnsi="Times New Roman"/>
      <w:sz w:val="24"/>
      <w:szCs w:val="24"/>
    </w:rPr>
  </w:style>
  <w:style w:type="character" w:customStyle="1" w:styleId="80">
    <w:name w:val="报告表 小段 Char Char"/>
    <w:basedOn w:val="22"/>
    <w:link w:val="81"/>
    <w:uiPriority w:val="0"/>
    <w:rPr>
      <w:rFonts w:ascii="SimSun+1" w:eastAsia="SimSun+1"/>
      <w:kern w:val="2"/>
      <w:sz w:val="24"/>
      <w:lang w:val="en-US" w:eastAsia="zh-CN" w:bidi="ar-SA"/>
    </w:rPr>
  </w:style>
  <w:style w:type="paragraph" w:customStyle="1" w:styleId="81">
    <w:name w:val="报告表 小段"/>
    <w:basedOn w:val="1"/>
    <w:link w:val="80"/>
    <w:qFormat/>
    <w:uiPriority w:val="0"/>
    <w:pPr>
      <w:spacing w:before="120" w:line="360" w:lineRule="auto"/>
      <w:ind w:firstLine="470" w:firstLineChars="196"/>
    </w:pPr>
    <w:rPr>
      <w:rFonts w:ascii="SimSun+1" w:hAnsi="Times New Roman" w:eastAsia="SimSun+1"/>
      <w:sz w:val="24"/>
    </w:rPr>
  </w:style>
  <w:style w:type="character" w:customStyle="1" w:styleId="82">
    <w:name w:val="表格文字 Char Char"/>
    <w:basedOn w:val="22"/>
    <w:link w:val="83"/>
    <w:uiPriority w:val="0"/>
    <w:rPr>
      <w:rFonts w:eastAsia="SimSun+1"/>
      <w:kern w:val="2"/>
      <w:position w:val="-10"/>
      <w:sz w:val="21"/>
      <w:lang w:val="en-US" w:eastAsia="zh-CN" w:bidi="ar-SA"/>
    </w:rPr>
  </w:style>
  <w:style w:type="paragraph" w:customStyle="1" w:styleId="83">
    <w:name w:val="表格文字"/>
    <w:basedOn w:val="1"/>
    <w:link w:val="82"/>
    <w:qFormat/>
    <w:uiPriority w:val="0"/>
    <w:pPr>
      <w:tabs>
        <w:tab w:val="left" w:pos="-2848"/>
      </w:tabs>
      <w:jc w:val="center"/>
    </w:pPr>
    <w:rPr>
      <w:rFonts w:ascii="Times New Roman" w:hAnsi="Times New Roman" w:eastAsia="SimSun+1"/>
      <w:position w:val="-10"/>
    </w:rPr>
  </w:style>
  <w:style w:type="character" w:customStyle="1" w:styleId="84">
    <w:name w:val="报告表 段 Char Char"/>
    <w:basedOn w:val="22"/>
    <w:link w:val="85"/>
    <w:uiPriority w:val="0"/>
    <w:rPr>
      <w:rFonts w:ascii="SimSun+1" w:hAnsi="SimSun+1" w:eastAsia="SimSun+1"/>
      <w:kern w:val="2"/>
      <w:sz w:val="24"/>
      <w:lang w:val="en-US" w:eastAsia="zh-CN" w:bidi="ar-SA"/>
    </w:rPr>
  </w:style>
  <w:style w:type="paragraph" w:customStyle="1" w:styleId="85">
    <w:name w:val="报告表 段"/>
    <w:basedOn w:val="1"/>
    <w:link w:val="84"/>
    <w:uiPriority w:val="0"/>
    <w:pPr>
      <w:spacing w:line="360" w:lineRule="auto"/>
      <w:ind w:firstLine="470" w:firstLineChars="196"/>
    </w:pPr>
    <w:rPr>
      <w:rFonts w:ascii="SimSun+1" w:hAnsi="SimSun+1" w:eastAsia="SimSun+1"/>
      <w:sz w:val="24"/>
    </w:rPr>
  </w:style>
  <w:style w:type="character" w:customStyle="1" w:styleId="86">
    <w:name w:val="表格正文 Char"/>
    <w:link w:val="87"/>
    <w:uiPriority w:val="0"/>
    <w:rPr>
      <w:rFonts w:ascii="宋体" w:eastAsia="宋体"/>
      <w:snapToGrid w:val="0"/>
      <w:spacing w:val="4"/>
      <w:w w:val="90"/>
      <w:sz w:val="24"/>
      <w:szCs w:val="24"/>
      <w:lang w:val="en-US" w:eastAsia="zh-CN" w:bidi="ar-SA"/>
    </w:rPr>
  </w:style>
  <w:style w:type="paragraph" w:customStyle="1" w:styleId="87">
    <w:name w:val="表格正文"/>
    <w:basedOn w:val="1"/>
    <w:next w:val="1"/>
    <w:link w:val="86"/>
    <w:qFormat/>
    <w:uiPriority w:val="0"/>
    <w:pPr>
      <w:adjustRightInd w:val="0"/>
      <w:snapToGrid w:val="0"/>
      <w:jc w:val="center"/>
      <w:textAlignment w:val="baseline"/>
    </w:pPr>
    <w:rPr>
      <w:rFonts w:ascii="宋体" w:hAnsi="Times New Roman"/>
      <w:snapToGrid w:val="0"/>
      <w:spacing w:val="4"/>
      <w:w w:val="90"/>
      <w:kern w:val="0"/>
      <w:sz w:val="24"/>
      <w:szCs w:val="24"/>
    </w:rPr>
  </w:style>
  <w:style w:type="character" w:customStyle="1" w:styleId="88">
    <w:name w:val="Char Char41"/>
    <w:basedOn w:val="22"/>
    <w:link w:val="89"/>
    <w:uiPriority w:val="0"/>
    <w:rPr>
      <w:rFonts w:eastAsia="SimSun+1"/>
      <w:kern w:val="2"/>
      <w:sz w:val="24"/>
      <w:lang w:val="en-US" w:eastAsia="zh-CN" w:bidi="ar-SA"/>
    </w:rPr>
  </w:style>
  <w:style w:type="paragraph" w:customStyle="1" w:styleId="89">
    <w:name w:val="Char"/>
    <w:basedOn w:val="1"/>
    <w:link w:val="88"/>
    <w:uiPriority w:val="0"/>
    <w:rPr>
      <w:rFonts w:ascii="Times New Roman" w:hAnsi="Times New Roman" w:eastAsia="SimSun+1"/>
      <w:sz w:val="24"/>
    </w:rPr>
  </w:style>
  <w:style w:type="character" w:customStyle="1" w:styleId="90">
    <w:name w:val="报告表小段 Char"/>
    <w:basedOn w:val="22"/>
    <w:qFormat/>
    <w:uiPriority w:val="0"/>
    <w:rPr>
      <w:rFonts w:ascii="宋体" w:hAnsi="宋体" w:eastAsia="宋体"/>
      <w:bCs/>
      <w:kern w:val="2"/>
      <w:sz w:val="24"/>
      <w:szCs w:val="24"/>
      <w:lang w:val="en-US" w:eastAsia="zh-CN" w:bidi="ar-SA"/>
    </w:rPr>
  </w:style>
  <w:style w:type="character" w:customStyle="1" w:styleId="91">
    <w:name w:val="style161"/>
    <w:basedOn w:val="22"/>
    <w:uiPriority w:val="0"/>
    <w:rPr>
      <w:sz w:val="18"/>
      <w:szCs w:val="18"/>
    </w:rPr>
  </w:style>
  <w:style w:type="character" w:customStyle="1" w:styleId="92">
    <w:name w:val="正文缩进 Char"/>
    <w:basedOn w:val="22"/>
    <w:link w:val="9"/>
    <w:uiPriority w:val="0"/>
    <w:rPr>
      <w:rFonts w:eastAsia="SimSun+1"/>
      <w:kern w:val="2"/>
      <w:sz w:val="21"/>
      <w:lang w:val="en-US" w:eastAsia="zh-CN" w:bidi="ar-SA"/>
    </w:rPr>
  </w:style>
  <w:style w:type="character" w:customStyle="1" w:styleId="93">
    <w:name w:val="正文文本 Char"/>
    <w:basedOn w:val="22"/>
    <w:link w:val="8"/>
    <w:uiPriority w:val="0"/>
    <w:rPr>
      <w:rFonts w:eastAsia="SimSun+1"/>
      <w:kern w:val="2"/>
      <w:sz w:val="24"/>
      <w:lang w:val="en-US" w:eastAsia="zh-CN" w:bidi="ar-SA"/>
    </w:rPr>
  </w:style>
  <w:style w:type="character" w:customStyle="1" w:styleId="94">
    <w:name w:val="表格和图标题 Char Char"/>
    <w:basedOn w:val="22"/>
    <w:link w:val="95"/>
    <w:uiPriority w:val="0"/>
    <w:rPr>
      <w:rFonts w:eastAsia="黑体"/>
      <w:kern w:val="2"/>
      <w:sz w:val="21"/>
      <w:szCs w:val="22"/>
      <w:lang w:val="en-US" w:eastAsia="zh-CN" w:bidi="ar-SA"/>
    </w:rPr>
  </w:style>
  <w:style w:type="paragraph" w:customStyle="1" w:styleId="95">
    <w:name w:val="表格和图标题"/>
    <w:next w:val="1"/>
    <w:link w:val="94"/>
    <w:qFormat/>
    <w:uiPriority w:val="0"/>
    <w:pPr>
      <w:spacing w:line="360" w:lineRule="auto"/>
      <w:jc w:val="center"/>
    </w:pPr>
    <w:rPr>
      <w:rFonts w:ascii="Times New Roman" w:hAnsi="Times New Roman" w:eastAsia="黑体" w:cs="Times New Roman"/>
      <w:kern w:val="2"/>
      <w:sz w:val="21"/>
      <w:szCs w:val="22"/>
      <w:lang w:val="en-US" w:eastAsia="zh-CN" w:bidi="ar-SA"/>
    </w:rPr>
  </w:style>
  <w:style w:type="character" w:customStyle="1" w:styleId="96">
    <w:name w:val="报告表格内中 Char Char"/>
    <w:basedOn w:val="22"/>
    <w:link w:val="97"/>
    <w:uiPriority w:val="0"/>
    <w:rPr>
      <w:rFonts w:eastAsia="SimSun+1"/>
      <w:kern w:val="2"/>
      <w:sz w:val="24"/>
      <w:lang w:val="en-US" w:eastAsia="zh-CN" w:bidi="ar-SA"/>
    </w:rPr>
  </w:style>
  <w:style w:type="paragraph" w:customStyle="1" w:styleId="97">
    <w:name w:val="报告表格内中"/>
    <w:basedOn w:val="1"/>
    <w:link w:val="96"/>
    <w:qFormat/>
    <w:uiPriority w:val="0"/>
    <w:pPr>
      <w:spacing w:before="100" w:beforeAutospacing="1"/>
      <w:jc w:val="center"/>
    </w:pPr>
    <w:rPr>
      <w:rFonts w:ascii="Times New Roman" w:hAnsi="Times New Roman" w:eastAsia="SimSun+1"/>
      <w:sz w:val="24"/>
    </w:rPr>
  </w:style>
  <w:style w:type="character" w:customStyle="1" w:styleId="98">
    <w:name w:val="金光华文本正文 Char Char"/>
    <w:basedOn w:val="22"/>
    <w:link w:val="99"/>
    <w:uiPriority w:val="0"/>
    <w:rPr>
      <w:rFonts w:ascii="宋体" w:hAnsi="宋体" w:eastAsia="宋体"/>
      <w:sz w:val="24"/>
      <w:szCs w:val="24"/>
      <w:lang w:val="en-US" w:eastAsia="zh-CN" w:bidi="ar-SA"/>
    </w:rPr>
  </w:style>
  <w:style w:type="paragraph" w:customStyle="1" w:styleId="99">
    <w:name w:val="金光华文本正文"/>
    <w:basedOn w:val="1"/>
    <w:link w:val="98"/>
    <w:qFormat/>
    <w:uiPriority w:val="0"/>
    <w:pPr>
      <w:widowControl/>
      <w:tabs>
        <w:tab w:val="left" w:pos="6840"/>
      </w:tabs>
      <w:spacing w:line="360" w:lineRule="auto"/>
      <w:ind w:firstLine="510"/>
      <w:jc w:val="left"/>
    </w:pPr>
    <w:rPr>
      <w:rFonts w:ascii="宋体" w:hAnsi="宋体"/>
      <w:kern w:val="0"/>
      <w:sz w:val="24"/>
      <w:szCs w:val="24"/>
    </w:rPr>
  </w:style>
  <w:style w:type="character" w:customStyle="1" w:styleId="100">
    <w:name w:val="样式 首行缩进:  2.25 字符3 Char Char"/>
    <w:basedOn w:val="22"/>
    <w:link w:val="101"/>
    <w:uiPriority w:val="0"/>
    <w:rPr>
      <w:rFonts w:eastAsia="宋体" w:cs="宋体"/>
      <w:kern w:val="2"/>
      <w:sz w:val="24"/>
      <w:lang w:val="en-US" w:eastAsia="zh-CN" w:bidi="ar-SA"/>
    </w:rPr>
  </w:style>
  <w:style w:type="paragraph" w:customStyle="1" w:styleId="101">
    <w:name w:val="样式 首行缩进:  2.25 字符3"/>
    <w:basedOn w:val="1"/>
    <w:link w:val="100"/>
    <w:uiPriority w:val="0"/>
    <w:pPr>
      <w:spacing w:line="360" w:lineRule="auto"/>
      <w:ind w:firstLine="225" w:firstLineChars="225"/>
      <w:jc w:val="left"/>
    </w:pPr>
    <w:rPr>
      <w:rFonts w:ascii="Times New Roman" w:hAnsi="Times New Roman" w:cs="宋体"/>
      <w:sz w:val="24"/>
    </w:rPr>
  </w:style>
  <w:style w:type="character" w:customStyle="1" w:styleId="102">
    <w:name w:val="表格字体 Char"/>
    <w:basedOn w:val="22"/>
    <w:link w:val="103"/>
    <w:uiPriority w:val="0"/>
    <w:rPr>
      <w:rFonts w:eastAsia="仿宋_GB2312"/>
      <w:color w:val="FF0000"/>
      <w:kern w:val="2"/>
      <w:sz w:val="21"/>
      <w:szCs w:val="21"/>
      <w:lang w:val="en-US" w:eastAsia="zh-CN" w:bidi="ar-SA"/>
    </w:rPr>
  </w:style>
  <w:style w:type="paragraph" w:customStyle="1" w:styleId="103">
    <w:name w:val="表格字体"/>
    <w:basedOn w:val="1"/>
    <w:link w:val="102"/>
    <w:qFormat/>
    <w:uiPriority w:val="0"/>
    <w:pPr>
      <w:jc w:val="center"/>
    </w:pPr>
    <w:rPr>
      <w:rFonts w:ascii="Times New Roman" w:hAnsi="Times New Roman" w:eastAsia="仿宋_GB2312"/>
      <w:color w:val="FF0000"/>
      <w:szCs w:val="21"/>
    </w:rPr>
  </w:style>
  <w:style w:type="character" w:customStyle="1" w:styleId="104">
    <w:name w:val="表格题名 Char"/>
    <w:link w:val="105"/>
    <w:qFormat/>
    <w:uiPriority w:val="0"/>
    <w:rPr>
      <w:rFonts w:eastAsia="黑体"/>
      <w:b/>
      <w:sz w:val="24"/>
      <w:lang w:val="en-US" w:eastAsia="zh-CN" w:bidi="ar-SA"/>
    </w:rPr>
  </w:style>
  <w:style w:type="paragraph" w:customStyle="1" w:styleId="105">
    <w:name w:val="表格题名"/>
    <w:basedOn w:val="1"/>
    <w:link w:val="104"/>
    <w:qFormat/>
    <w:uiPriority w:val="0"/>
    <w:pPr>
      <w:adjustRightInd w:val="0"/>
      <w:spacing w:before="93" w:after="93" w:line="360" w:lineRule="auto"/>
      <w:jc w:val="center"/>
      <w:textAlignment w:val="baseline"/>
    </w:pPr>
    <w:rPr>
      <w:rFonts w:ascii="Times New Roman" w:hAnsi="Times New Roman" w:eastAsia="黑体"/>
      <w:b/>
      <w:kern w:val="0"/>
      <w:sz w:val="24"/>
    </w:rPr>
  </w:style>
  <w:style w:type="character" w:customStyle="1" w:styleId="106">
    <w:name w:val="样式 报告 + 首行缩进:  2 字符 Char"/>
    <w:basedOn w:val="22"/>
    <w:link w:val="107"/>
    <w:uiPriority w:val="0"/>
    <w:rPr>
      <w:rFonts w:ascii="宋体" w:hAnsi="宋体" w:eastAsia="宋体" w:cs="宋体"/>
      <w:sz w:val="24"/>
      <w:lang w:val="en-US" w:eastAsia="zh-CN" w:bidi="ar-SA"/>
    </w:rPr>
  </w:style>
  <w:style w:type="paragraph" w:customStyle="1" w:styleId="107">
    <w:name w:val="样式 报告 + 首行缩进:  2 字符"/>
    <w:basedOn w:val="65"/>
    <w:link w:val="106"/>
    <w:uiPriority w:val="0"/>
    <w:pPr>
      <w:widowControl/>
      <w:spacing w:beforeLines="0" w:afterLines="0"/>
      <w:ind w:left="0" w:leftChars="0" w:firstLine="480"/>
      <w:jc w:val="left"/>
    </w:pPr>
    <w:rPr>
      <w:rFonts w:ascii="宋体" w:hAnsi="宋体" w:eastAsia="宋体" w:cs="宋体"/>
      <w:kern w:val="0"/>
    </w:rPr>
  </w:style>
  <w:style w:type="character" w:customStyle="1" w:styleId="108">
    <w:name w:val="报告表  段 Char"/>
    <w:locked/>
    <w:uiPriority w:val="0"/>
    <w:rPr>
      <w:rFonts w:ascii="宋体" w:eastAsia="宋体"/>
      <w:sz w:val="24"/>
      <w:lang w:val="en-US" w:eastAsia="zh-CN" w:bidi="ar-SA"/>
    </w:rPr>
  </w:style>
  <w:style w:type="character" w:customStyle="1" w:styleId="109">
    <w:name w:val="宗兴正文 Char"/>
    <w:basedOn w:val="22"/>
    <w:uiPriority w:val="0"/>
    <w:rPr>
      <w:rFonts w:eastAsia="宋体"/>
      <w:kern w:val="2"/>
      <w:sz w:val="24"/>
      <w:szCs w:val="24"/>
      <w:lang w:val="en-US" w:eastAsia="zh-CN" w:bidi="ar-SA"/>
    </w:rPr>
  </w:style>
  <w:style w:type="character" w:customStyle="1" w:styleId="110">
    <w:name w:val="表文 Char"/>
    <w:uiPriority w:val="0"/>
    <w:rPr>
      <w:rFonts w:ascii="宋体" w:hAnsi="Tms Rmn" w:eastAsia="宋体"/>
      <w:sz w:val="24"/>
      <w:lang w:val="en-US" w:eastAsia="zh-CN" w:bidi="ar-SA"/>
    </w:rPr>
  </w:style>
  <w:style w:type="paragraph" w:customStyle="1" w:styleId="111">
    <w:name w:val="样式 正文首行缩进 + 首行缩进:  1 字符"/>
    <w:basedOn w:val="7"/>
    <w:uiPriority w:val="0"/>
    <w:pPr>
      <w:widowControl/>
      <w:spacing w:line="360" w:lineRule="auto"/>
      <w:ind w:firstLine="200" w:firstLineChars="200"/>
      <w:jc w:val="left"/>
    </w:pPr>
    <w:rPr>
      <w:rFonts w:ascii="Times New Roman" w:hAnsi="Times New Roman" w:eastAsia="宋体" w:cs="PMingLiU"/>
      <w:kern w:val="0"/>
      <w:sz w:val="24"/>
    </w:rPr>
  </w:style>
  <w:style w:type="paragraph" w:customStyle="1" w:styleId="112">
    <w:name w:val="表格1"/>
    <w:basedOn w:val="1"/>
    <w:qFormat/>
    <w:uiPriority w:val="0"/>
    <w:pPr>
      <w:adjustRightInd w:val="0"/>
      <w:spacing w:line="360" w:lineRule="atLeast"/>
      <w:ind w:firstLine="200" w:firstLineChars="200"/>
      <w:jc w:val="center"/>
    </w:pPr>
    <w:rPr>
      <w:rFonts w:ascii="CG Times (WN)" w:hAnsi="Times New Roman"/>
      <w:b/>
      <w:kern w:val="0"/>
      <w:sz w:val="24"/>
      <w:szCs w:val="24"/>
    </w:rPr>
  </w:style>
  <w:style w:type="paragraph" w:customStyle="1" w:styleId="113">
    <w:name w:val="Defaul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14">
    <w:name w:val="样式 四号 黑色 行距: 1.5 倍行距 首行缩进:  2 字符"/>
    <w:basedOn w:val="1"/>
    <w:uiPriority w:val="0"/>
    <w:pPr>
      <w:spacing w:line="360" w:lineRule="auto"/>
      <w:ind w:firstLine="560" w:firstLineChars="200"/>
    </w:pPr>
    <w:rPr>
      <w:rFonts w:eastAsia="SimSun+3"/>
      <w:color w:val="000000"/>
      <w:sz w:val="28"/>
    </w:rPr>
  </w:style>
  <w:style w:type="paragraph" w:customStyle="1" w:styleId="115">
    <w:name w:val="表格标题"/>
    <w:basedOn w:val="1"/>
    <w:qFormat/>
    <w:uiPriority w:val="0"/>
    <w:pPr>
      <w:spacing w:before="120"/>
      <w:jc w:val="center"/>
    </w:pPr>
    <w:rPr>
      <w:rFonts w:ascii="Times New Roman" w:hAnsi="Times New Roman"/>
      <w:sz w:val="24"/>
    </w:rPr>
  </w:style>
  <w:style w:type="paragraph" w:customStyle="1" w:styleId="116">
    <w:name w:val="金光华表头"/>
    <w:basedOn w:val="1"/>
    <w:uiPriority w:val="0"/>
    <w:pPr>
      <w:widowControl/>
      <w:spacing w:line="360" w:lineRule="auto"/>
      <w:ind w:firstLine="794"/>
      <w:jc w:val="left"/>
    </w:pPr>
    <w:rPr>
      <w:rFonts w:ascii="Times New Roman" w:hAnsi="Times New Roman"/>
      <w:kern w:val="0"/>
      <w:sz w:val="24"/>
      <w:szCs w:val="24"/>
    </w:rPr>
  </w:style>
  <w:style w:type="paragraph" w:customStyle="1" w:styleId="117">
    <w:name w:val="样式1"/>
    <w:basedOn w:val="2"/>
    <w:qFormat/>
    <w:uiPriority w:val="0"/>
    <w:pPr>
      <w:jc w:val="left"/>
    </w:pPr>
    <w:rPr>
      <w:rFonts w:ascii="SimSun+1" w:hAnsi="SimSun+1"/>
      <w:b/>
      <w:sz w:val="28"/>
    </w:rPr>
  </w:style>
  <w:style w:type="paragraph" w:customStyle="1" w:styleId="118">
    <w:name w:val="Char2 Char Char Char Char Char Char"/>
    <w:basedOn w:val="1"/>
    <w:qFormat/>
    <w:uiPriority w:val="0"/>
    <w:rPr>
      <w:sz w:val="24"/>
    </w:rPr>
  </w:style>
  <w:style w:type="paragraph" w:customStyle="1" w:styleId="119">
    <w:name w:val="样式 样式 正文内容 + 首行缩进:  1.92 字符 + 首行缩进:  1.92 字符"/>
    <w:basedOn w:val="1"/>
    <w:uiPriority w:val="0"/>
    <w:pPr>
      <w:spacing w:before="100" w:beforeAutospacing="1" w:after="100" w:afterAutospacing="1" w:line="360" w:lineRule="auto"/>
      <w:ind w:firstLine="192" w:firstLineChars="192"/>
    </w:pPr>
    <w:rPr>
      <w:rFonts w:ascii="Times New Roman" w:hAnsi="Times New Roman" w:cs="宋体"/>
      <w:sz w:val="24"/>
    </w:rPr>
  </w:style>
  <w:style w:type="paragraph" w:customStyle="1" w:styleId="120">
    <w:name w:val="reader-word-layer reader-word-s2-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1">
    <w:name w:val="样式 两端对齐 行距: 1.5 倍行距 首行缩进:  2 字符"/>
    <w:basedOn w:val="1"/>
    <w:uiPriority w:val="0"/>
    <w:pPr>
      <w:widowControl/>
      <w:spacing w:line="360" w:lineRule="auto"/>
      <w:ind w:firstLine="200" w:firstLineChars="200"/>
    </w:pPr>
    <w:rPr>
      <w:rFonts w:ascii="Times New Roman" w:hAnsi="Times New Roman" w:cs="PMingLiU"/>
      <w:kern w:val="0"/>
      <w:sz w:val="24"/>
    </w:rPr>
  </w:style>
  <w:style w:type="paragraph" w:customStyle="1" w:styleId="122">
    <w:name w:val="样式 表名 + 首行缩进:  2 字符 段前: 1 行 段后: 1 行"/>
    <w:basedOn w:val="1"/>
    <w:uiPriority w:val="0"/>
    <w:pPr>
      <w:adjustRightInd w:val="0"/>
      <w:spacing w:beforeLines="100" w:afterLines="100" w:line="400" w:lineRule="atLeast"/>
      <w:jc w:val="left"/>
      <w:textAlignment w:val="baseline"/>
    </w:pPr>
    <w:rPr>
      <w:rFonts w:ascii="Times New Roman" w:hAnsi="Times New Roman" w:eastAsia="黑体" w:cs="PMingLiU"/>
      <w:kern w:val="0"/>
      <w:sz w:val="24"/>
    </w:rPr>
  </w:style>
  <w:style w:type="paragraph" w:customStyle="1" w:styleId="123">
    <w:name w:val="新表项"/>
    <w:basedOn w:val="1"/>
    <w:uiPriority w:val="0"/>
    <w:pPr>
      <w:adjustRightInd w:val="0"/>
      <w:spacing w:before="60" w:line="336" w:lineRule="auto"/>
      <w:ind w:firstLine="505"/>
      <w:textAlignment w:val="baseline"/>
    </w:pPr>
    <w:rPr>
      <w:rFonts w:ascii="宋体" w:hAnsi="Times New Roman"/>
      <w:kern w:val="0"/>
      <w:sz w:val="24"/>
    </w:rPr>
  </w:style>
  <w:style w:type="paragraph" w:customStyle="1" w:styleId="124">
    <w:name w:val="样式 正文文本缩进 3 + 12 磅 左侧:  2 字符"/>
    <w:basedOn w:val="18"/>
    <w:uiPriority w:val="0"/>
    <w:pPr>
      <w:widowControl/>
      <w:snapToGrid/>
      <w:spacing w:after="120"/>
      <w:ind w:firstLine="200" w:firstLineChars="200"/>
      <w:jc w:val="left"/>
    </w:pPr>
    <w:rPr>
      <w:rFonts w:eastAsia="宋体" w:cs="PMingLiU"/>
      <w:kern w:val="0"/>
      <w:sz w:val="24"/>
    </w:rPr>
  </w:style>
  <w:style w:type="paragraph" w:customStyle="1" w:styleId="125">
    <w:name w:val="正文1"/>
    <w:basedOn w:val="1"/>
    <w:uiPriority w:val="0"/>
    <w:pPr>
      <w:adjustRightInd w:val="0"/>
      <w:snapToGrid w:val="0"/>
      <w:spacing w:line="500" w:lineRule="atLeast"/>
      <w:ind w:firstLine="567"/>
    </w:pPr>
    <w:rPr>
      <w:sz w:val="28"/>
    </w:rPr>
  </w:style>
  <w:style w:type="paragraph" w:customStyle="1" w:styleId="126">
    <w:name w:val="样式 列表 + 左侧:  0 厘米 悬挂缩进: 2 字符1"/>
    <w:basedOn w:val="17"/>
    <w:uiPriority w:val="0"/>
    <w:pPr>
      <w:widowControl/>
      <w:ind w:left="0" w:firstLine="0" w:firstLineChars="0"/>
      <w:jc w:val="left"/>
    </w:pPr>
    <w:rPr>
      <w:rFonts w:ascii="Times New Roman" w:hAnsi="Times New Roman" w:cs="PMingLiU"/>
      <w:kern w:val="0"/>
    </w:rPr>
  </w:style>
  <w:style w:type="paragraph" w:customStyle="1" w:styleId="127">
    <w:name w:val="Char Char1"/>
    <w:basedOn w:val="1"/>
    <w:uiPriority w:val="0"/>
    <w:rPr>
      <w:rFonts w:ascii="宋体" w:hAnsi="宋体"/>
      <w:kern w:val="0"/>
      <w:sz w:val="24"/>
      <w:szCs w:val="24"/>
    </w:rPr>
  </w:style>
  <w:style w:type="paragraph" w:customStyle="1" w:styleId="128">
    <w:name w:val="表文左对齐"/>
    <w:basedOn w:val="1"/>
    <w:qFormat/>
    <w:uiPriority w:val="0"/>
    <w:pPr>
      <w:jc w:val="left"/>
    </w:pPr>
    <w:rPr>
      <w:rFonts w:ascii="宋体" w:hAnsi="宋体"/>
      <w:szCs w:val="21"/>
    </w:rPr>
  </w:style>
  <w:style w:type="paragraph" w:customStyle="1" w:styleId="129">
    <w:name w:val="样式 报告 Char + 加粗 居中 首行缩进:  0.85 厘米 段后: 3 磅 行距: 1.5 倍行距"/>
    <w:basedOn w:val="1"/>
    <w:qFormat/>
    <w:uiPriority w:val="0"/>
    <w:pPr>
      <w:overflowPunct w:val="0"/>
      <w:autoSpaceDE w:val="0"/>
      <w:autoSpaceDN w:val="0"/>
      <w:adjustRightInd w:val="0"/>
      <w:spacing w:line="360" w:lineRule="auto"/>
      <w:jc w:val="center"/>
      <w:textAlignment w:val="baseline"/>
    </w:pPr>
    <w:rPr>
      <w:rFonts w:ascii="黑体" w:hAnsi="宋体" w:eastAsia="黑体"/>
      <w:bCs/>
      <w:kern w:val="0"/>
      <w:szCs w:val="21"/>
    </w:rPr>
  </w:style>
  <w:style w:type="paragraph" w:customStyle="1" w:styleId="130">
    <w:name w:val="p0"/>
    <w:basedOn w:val="1"/>
    <w:qFormat/>
    <w:uiPriority w:val="0"/>
    <w:pPr>
      <w:widowControl/>
    </w:pPr>
    <w:rPr>
      <w:rFonts w:ascii="Times New Roman" w:hAnsi="Times New Roman"/>
      <w:kern w:val="0"/>
      <w:szCs w:val="21"/>
    </w:rPr>
  </w:style>
  <w:style w:type="paragraph" w:customStyle="1" w:styleId="131">
    <w:name w:val="Char1"/>
    <w:basedOn w:val="1"/>
    <w:qFormat/>
    <w:uiPriority w:val="0"/>
    <w:rPr>
      <w:rFonts w:ascii="Times New Roman" w:hAnsi="Times New Roman"/>
      <w:szCs w:val="24"/>
    </w:rPr>
  </w:style>
  <w:style w:type="paragraph" w:customStyle="1" w:styleId="132">
    <w:name w:val="样式1 Char"/>
    <w:basedOn w:val="1"/>
    <w:next w:val="19"/>
    <w:uiPriority w:val="0"/>
    <w:pPr>
      <w:spacing w:line="240" w:lineRule="atLeast"/>
      <w:jc w:val="center"/>
    </w:pPr>
    <w:rPr>
      <w:rFonts w:ascii="Times New Roman" w:hAnsi="Times New Roman"/>
      <w:sz w:val="24"/>
      <w:szCs w:val="24"/>
    </w:rPr>
  </w:style>
  <w:style w:type="paragraph" w:customStyle="1" w:styleId="133">
    <w:name w:val="Char Char Char Char Char Char Char Char Char Char"/>
    <w:basedOn w:val="1"/>
    <w:uiPriority w:val="0"/>
    <w:pPr>
      <w:spacing w:line="240" w:lineRule="exact"/>
      <w:ind w:firstLine="200" w:firstLineChars="200"/>
    </w:pPr>
    <w:rPr>
      <w:rFonts w:ascii="宋体" w:hAnsi="宋体" w:cs="宋体"/>
      <w:sz w:val="24"/>
      <w:szCs w:val="24"/>
    </w:rPr>
  </w:style>
  <w:style w:type="character" w:customStyle="1" w:styleId="134">
    <w:name w:val="表格文字 Char"/>
    <w:qFormat/>
    <w:uiPriority w:val="0"/>
    <w:rPr>
      <w:rFonts w:eastAsia="宋体"/>
      <w:kern w:val="2"/>
      <w:position w:val="-10"/>
      <w:sz w:val="21"/>
      <w:lang w:val="en-US" w:eastAsia="zh-CN" w:bidi="ar-SA"/>
    </w:rPr>
  </w:style>
  <w:style w:type="paragraph" w:customStyle="1" w:styleId="135">
    <w:name w:val="正 文"/>
    <w:basedOn w:val="1"/>
    <w:link w:val="136"/>
    <w:qFormat/>
    <w:uiPriority w:val="0"/>
    <w:pPr>
      <w:autoSpaceDE w:val="0"/>
      <w:autoSpaceDN w:val="0"/>
      <w:adjustRightInd w:val="0"/>
      <w:snapToGrid w:val="0"/>
      <w:spacing w:line="360" w:lineRule="auto"/>
      <w:ind w:firstLine="200" w:firstLineChars="200"/>
    </w:pPr>
    <w:rPr>
      <w:rFonts w:ascii="Times New Roman" w:hAnsi="Times New Roman"/>
      <w:kern w:val="0"/>
      <w:sz w:val="24"/>
      <w:szCs w:val="24"/>
      <w:lang w:val="zh-CN"/>
    </w:rPr>
  </w:style>
  <w:style w:type="character" w:customStyle="1" w:styleId="136">
    <w:name w:val="正 文 Char"/>
    <w:link w:val="135"/>
    <w:qFormat/>
    <w:uiPriority w:val="0"/>
    <w:rPr>
      <w:sz w:val="24"/>
      <w:szCs w:val="24"/>
      <w:lang w:val="zh-CN"/>
    </w:rPr>
  </w:style>
  <w:style w:type="paragraph" w:customStyle="1" w:styleId="137">
    <w:name w:val="表标题"/>
    <w:basedOn w:val="1"/>
    <w:next w:val="1"/>
    <w:link w:val="138"/>
    <w:qFormat/>
    <w:uiPriority w:val="0"/>
    <w:pPr>
      <w:adjustRightInd w:val="0"/>
      <w:snapToGrid w:val="0"/>
      <w:spacing w:beforeLines="50"/>
      <w:jc w:val="center"/>
    </w:pPr>
    <w:rPr>
      <w:rFonts w:ascii="Times New Roman" w:hAnsi="Times New Roman"/>
      <w:b/>
      <w:bCs/>
      <w:sz w:val="24"/>
      <w:szCs w:val="48"/>
    </w:rPr>
  </w:style>
  <w:style w:type="character" w:customStyle="1" w:styleId="138">
    <w:name w:val="表标题 Char"/>
    <w:link w:val="137"/>
    <w:qFormat/>
    <w:uiPriority w:val="0"/>
    <w:rPr>
      <w:b/>
      <w:bCs/>
      <w:kern w:val="2"/>
      <w:sz w:val="24"/>
      <w:szCs w:val="48"/>
    </w:rPr>
  </w:style>
  <w:style w:type="character" w:customStyle="1" w:styleId="139">
    <w:name w:val="报告 Char1"/>
    <w:qFormat/>
    <w:uiPriority w:val="0"/>
    <w:rPr>
      <w:rFonts w:eastAsia="宋体"/>
      <w:bCs/>
      <w:color w:val="000000"/>
      <w:sz w:val="24"/>
      <w:szCs w:val="36"/>
      <w:lang w:val="en-US" w:eastAsia="zh-CN" w:bidi="ar-SA"/>
    </w:rPr>
  </w:style>
  <w:style w:type="paragraph" w:customStyle="1" w:styleId="140">
    <w:name w:val="表格 32"/>
    <w:basedOn w:val="1"/>
    <w:qFormat/>
    <w:uiPriority w:val="0"/>
    <w:pPr>
      <w:autoSpaceDE w:val="0"/>
      <w:autoSpaceDN w:val="0"/>
      <w:adjustRightInd w:val="0"/>
      <w:jc w:val="center"/>
      <w:textAlignment w:val="baseline"/>
    </w:pPr>
    <w:rPr>
      <w:rFonts w:ascii="宋体" w:hAnsi="Impact"/>
      <w:kern w:val="24"/>
      <w:sz w:val="24"/>
    </w:rPr>
  </w:style>
  <w:style w:type="paragraph" w:customStyle="1" w:styleId="141">
    <w:name w:val="中大正文"/>
    <w:basedOn w:val="1"/>
    <w:link w:val="142"/>
    <w:qFormat/>
    <w:uiPriority w:val="0"/>
    <w:pPr>
      <w:autoSpaceDE w:val="0"/>
      <w:autoSpaceDN w:val="0"/>
      <w:adjustRightInd w:val="0"/>
      <w:snapToGrid w:val="0"/>
      <w:spacing w:line="360" w:lineRule="auto"/>
      <w:ind w:firstLine="480" w:firstLineChars="200"/>
    </w:pPr>
    <w:rPr>
      <w:rFonts w:ascii="Times New Roman" w:hAnsi="Times New Roman"/>
      <w:kern w:val="0"/>
      <w:sz w:val="24"/>
      <w:szCs w:val="24"/>
      <w:lang w:val="zh-CN"/>
    </w:rPr>
  </w:style>
  <w:style w:type="character" w:customStyle="1" w:styleId="142">
    <w:name w:val="中大正文 Char"/>
    <w:link w:val="141"/>
    <w:qFormat/>
    <w:uiPriority w:val="0"/>
    <w:rPr>
      <w:sz w:val="24"/>
      <w:szCs w:val="24"/>
      <w:lang w:val="zh-CN"/>
    </w:rPr>
  </w:style>
  <w:style w:type="character" w:customStyle="1" w:styleId="143">
    <w:name w:val="正文缩进 Char1"/>
    <w:basedOn w:val="22"/>
    <w:qFormat/>
    <w:uiPriority w:val="0"/>
    <w:rPr>
      <w:rFonts w:eastAsia="SimSun+1"/>
      <w:kern w:val="2"/>
      <w:sz w:val="21"/>
      <w:lang w:val="en-US" w:eastAsia="zh-CN" w:bidi="ar-SA"/>
    </w:rPr>
  </w:style>
  <w:style w:type="paragraph" w:customStyle="1" w:styleId="144">
    <w:name w:val="Char3"/>
    <w:basedOn w:val="1"/>
    <w:link w:val="145"/>
    <w:qFormat/>
    <w:uiPriority w:val="0"/>
    <w:rPr>
      <w:rFonts w:ascii="Times New Roman" w:hAnsi="Times New Roman"/>
      <w:sz w:val="24"/>
      <w:szCs w:val="24"/>
    </w:rPr>
  </w:style>
  <w:style w:type="character" w:customStyle="1" w:styleId="145">
    <w:name w:val="Char Char42"/>
    <w:basedOn w:val="22"/>
    <w:link w:val="144"/>
    <w:qFormat/>
    <w:uiPriority w:val="0"/>
    <w:rPr>
      <w:kern w:val="2"/>
      <w:sz w:val="24"/>
      <w:szCs w:val="24"/>
    </w:rPr>
  </w:style>
  <w:style w:type="character" w:customStyle="1" w:styleId="146">
    <w:name w:val="报告表格内中 Char"/>
    <w:basedOn w:val="22"/>
    <w:qFormat/>
    <w:uiPriority w:val="0"/>
    <w:rPr>
      <w:rFonts w:eastAsia="宋体"/>
      <w:bCs/>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emf"/><Relationship Id="rId27" Type="http://schemas.openxmlformats.org/officeDocument/2006/relationships/oleObject" Target="embeddings/oleObject2.bin"/><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wmf"/><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3359"/>
    <customShpInfo spid="_x0000_s4572"/>
    <customShpInfo spid="_x0000_s4574"/>
    <customShpInfo spid="_x0000_s4581"/>
    <customShpInfo spid="_x0000_s4575"/>
    <customShpInfo spid="_x0000_s4576"/>
    <customShpInfo spid="_x0000_s4578"/>
    <customShpInfo spid="_x0000_s4577"/>
    <customShpInfo spid="_x0000_s4580"/>
    <customShpInfo spid="_x0000_s4579"/>
    <customShpInfo spid="_x0000_s4573"/>
    <customShpInfo spid="_x0000_s4532"/>
    <customShpInfo spid="_x0000_s4531"/>
    <customShpInfo spid="_x0000_s4613"/>
    <customShpInfo spid="_x0000_s4611"/>
    <customShpInfo spid="_x0000_s4612"/>
    <customShpInfo spid="_x0000_s4610"/>
    <customShpInfo spid="_x0000_s4609"/>
    <customShpInfo spid="_x0000_s4608"/>
    <customShpInfo spid="_x0000_s4607"/>
    <customShpInfo spid="_x0000_s4606"/>
    <customShpInfo spid="_x0000_s4593"/>
    <customShpInfo spid="_x0000_s4546"/>
    <customShpInfo spid="_x0000_s4547"/>
    <customShpInfo spid="_x0000_s4544"/>
    <customShpInfo spid="_x0000_s4543"/>
    <customShpInfo spid="_x0000_s4592"/>
    <customShpInfo spid="_x0000_s4538"/>
    <customShpInfo spid="_x0000_s4537"/>
    <customShpInfo spid="_x0000_s4540"/>
    <customShpInfo spid="_x0000_s453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131F7E-12A9-4B05-A473-64D3B5FE2A9C}">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49</Pages>
  <Words>3971</Words>
  <Characters>22640</Characters>
  <Lines>188</Lines>
  <Paragraphs>53</Paragraphs>
  <TotalTime>0</TotalTime>
  <ScaleCrop>false</ScaleCrop>
  <LinksUpToDate>false</LinksUpToDate>
  <CharactersWithSpaces>26558</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2014-06-12T01:43:00Z</dcterms:created>
  <dc:creator>雨林木风</dc:creator>
  <cp:lastModifiedBy>Administrator</cp:lastModifiedBy>
  <cp:lastPrinted>2014-06-30T07:55:00Z</cp:lastPrinted>
  <dcterms:modified xsi:type="dcterms:W3CDTF">2017-07-21T09:28:53Z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